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9990" w14:textId="77777777" w:rsidR="0033349F" w:rsidRDefault="0033349F">
      <w:pPr>
        <w:pStyle w:val="BodyText"/>
        <w:rPr>
          <w:rFonts w:ascii="Times New Roman"/>
          <w:sz w:val="13"/>
        </w:rPr>
      </w:pPr>
    </w:p>
    <w:p w14:paraId="173C14FD" w14:textId="3C096A06" w:rsidR="0033349F" w:rsidRDefault="007476C3">
      <w:pPr>
        <w:pStyle w:val="Heading1"/>
        <w:spacing w:before="56"/>
        <w:rPr>
          <w:u w:val="none"/>
        </w:rPr>
      </w:pPr>
      <w:r>
        <w:t xml:space="preserve">UPDATED: </w:t>
      </w:r>
      <w:r w:rsidR="00EF79C7">
        <w:t xml:space="preserve"> February 7, 2024</w:t>
      </w:r>
    </w:p>
    <w:p w14:paraId="76FDE20F" w14:textId="77777777" w:rsidR="0033349F" w:rsidRDefault="0033349F">
      <w:pPr>
        <w:pStyle w:val="BodyText"/>
        <w:spacing w:before="6"/>
        <w:rPr>
          <w:b/>
          <w:sz w:val="17"/>
        </w:rPr>
      </w:pPr>
    </w:p>
    <w:p w14:paraId="04D6437A" w14:textId="77777777" w:rsidR="0033349F" w:rsidRDefault="007476C3">
      <w:pPr>
        <w:spacing w:before="56"/>
        <w:ind w:left="1518"/>
        <w:rPr>
          <w:b/>
        </w:rPr>
      </w:pPr>
      <w:r>
        <w:rPr>
          <w:b/>
          <w:u w:val="single"/>
        </w:rPr>
        <w:t>City of Bethlehem Amusement Tax procedures and general information</w:t>
      </w:r>
    </w:p>
    <w:p w14:paraId="2AE753B2" w14:textId="77777777" w:rsidR="0033349F" w:rsidRDefault="0033349F">
      <w:pPr>
        <w:pStyle w:val="BodyText"/>
        <w:spacing w:before="3"/>
        <w:rPr>
          <w:b/>
          <w:sz w:val="17"/>
        </w:rPr>
      </w:pPr>
    </w:p>
    <w:p w14:paraId="3B1621BC" w14:textId="213C9624" w:rsidR="0033349F" w:rsidRDefault="007476C3" w:rsidP="00690CEA">
      <w:pPr>
        <w:pStyle w:val="BodyText"/>
        <w:spacing w:before="56"/>
        <w:ind w:left="100" w:right="106"/>
      </w:pPr>
      <w:r>
        <w:t xml:space="preserve">The City of Bethlehem established an ordinance, effective February 5, 2013, for collection of amusement tax.  The tax is applied to sales of amusement tickets with an admission price over $10.00.  The tax rate is 5%, up to a maximum of 2.00 per admission effective February 1, 2015. </w:t>
      </w:r>
    </w:p>
    <w:p w14:paraId="56DF2589" w14:textId="77777777" w:rsidR="00690CEA" w:rsidRDefault="00690CEA" w:rsidP="00690CEA">
      <w:pPr>
        <w:pStyle w:val="BodyText"/>
        <w:spacing w:before="56"/>
        <w:ind w:left="100" w:right="106"/>
      </w:pPr>
    </w:p>
    <w:p w14:paraId="5B18FC04" w14:textId="77777777" w:rsidR="0033349F" w:rsidRDefault="007476C3">
      <w:pPr>
        <w:pStyle w:val="Heading1"/>
        <w:rPr>
          <w:u w:val="none"/>
        </w:rPr>
      </w:pPr>
      <w:r>
        <w:t>What is Taxable?</w:t>
      </w:r>
    </w:p>
    <w:p w14:paraId="688913AC" w14:textId="77777777" w:rsidR="0033349F" w:rsidRDefault="0033349F">
      <w:pPr>
        <w:pStyle w:val="BodyText"/>
        <w:spacing w:before="1"/>
        <w:rPr>
          <w:b/>
        </w:rPr>
      </w:pPr>
    </w:p>
    <w:p w14:paraId="6DC48EBD" w14:textId="77777777" w:rsidR="0033349F" w:rsidRDefault="007476C3">
      <w:pPr>
        <w:pStyle w:val="ListParagraph"/>
        <w:numPr>
          <w:ilvl w:val="0"/>
          <w:numId w:val="3"/>
        </w:numPr>
        <w:tabs>
          <w:tab w:val="left" w:pos="820"/>
          <w:tab w:val="left" w:pos="821"/>
        </w:tabs>
        <w:ind w:right="530"/>
      </w:pPr>
      <w:r>
        <w:t>Tax is charged on admission price for attending or engaging in any amusement in the City of Bethlehem.</w:t>
      </w:r>
    </w:p>
    <w:p w14:paraId="28A4E006" w14:textId="77777777" w:rsidR="0033349F" w:rsidRDefault="007476C3">
      <w:pPr>
        <w:pStyle w:val="BodyText"/>
        <w:ind w:left="820" w:right="208"/>
      </w:pPr>
      <w:r>
        <w:rPr>
          <w:b/>
        </w:rPr>
        <w:t xml:space="preserve">Amusement </w:t>
      </w:r>
      <w:r>
        <w:t>is defined as any manner or form of entertainment, including, but not limited to, circuses, shows, concerts, lectures, sports events, amusement parks, athletic contests, auto races, and any other form of diversion, sport, pastime or recreation, for which admission is charged or paid.</w:t>
      </w:r>
    </w:p>
    <w:p w14:paraId="5833074B" w14:textId="77777777" w:rsidR="0033349F" w:rsidRDefault="0033349F">
      <w:pPr>
        <w:pStyle w:val="BodyText"/>
      </w:pPr>
    </w:p>
    <w:p w14:paraId="38AB9C2B" w14:textId="77777777" w:rsidR="0033349F" w:rsidRDefault="007476C3">
      <w:pPr>
        <w:pStyle w:val="Heading1"/>
        <w:rPr>
          <w:u w:val="none"/>
        </w:rPr>
      </w:pPr>
      <w:r>
        <w:t>Calculating the Tax</w:t>
      </w:r>
    </w:p>
    <w:p w14:paraId="2A92E1E2" w14:textId="77777777" w:rsidR="0033349F" w:rsidRDefault="0033349F">
      <w:pPr>
        <w:pStyle w:val="BodyText"/>
        <w:spacing w:before="1"/>
        <w:rPr>
          <w:b/>
        </w:rPr>
      </w:pPr>
    </w:p>
    <w:p w14:paraId="5FF060C9" w14:textId="77777777" w:rsidR="0033349F" w:rsidRDefault="007476C3">
      <w:pPr>
        <w:pStyle w:val="ListParagraph"/>
        <w:numPr>
          <w:ilvl w:val="0"/>
          <w:numId w:val="3"/>
        </w:numPr>
        <w:tabs>
          <w:tab w:val="left" w:pos="820"/>
          <w:tab w:val="left" w:pos="821"/>
        </w:tabs>
        <w:ind w:right="514"/>
      </w:pPr>
      <w:r>
        <w:t>The tax is imposed at the rate of 5% of the price of admission to each and every</w:t>
      </w:r>
      <w:r>
        <w:rPr>
          <w:spacing w:val="-30"/>
        </w:rPr>
        <w:t xml:space="preserve"> </w:t>
      </w:r>
      <w:r>
        <w:t>amusement with the following</w:t>
      </w:r>
      <w:r>
        <w:rPr>
          <w:spacing w:val="-6"/>
        </w:rPr>
        <w:t xml:space="preserve"> </w:t>
      </w:r>
      <w:r>
        <w:t>exceptions:</w:t>
      </w:r>
    </w:p>
    <w:p w14:paraId="23BDD603" w14:textId="77777777" w:rsidR="0033349F" w:rsidRDefault="007476C3">
      <w:pPr>
        <w:pStyle w:val="ListParagraph"/>
        <w:numPr>
          <w:ilvl w:val="1"/>
          <w:numId w:val="3"/>
        </w:numPr>
        <w:tabs>
          <w:tab w:val="left" w:pos="1180"/>
          <w:tab w:val="left" w:pos="1181"/>
        </w:tabs>
        <w:spacing w:before="2" w:line="235" w:lineRule="auto"/>
        <w:ind w:right="416"/>
      </w:pPr>
      <w:r>
        <w:t>Tax shall not be charged on any admissions where the maximum venue capacity is 200 or less.</w:t>
      </w:r>
    </w:p>
    <w:p w14:paraId="44C80682" w14:textId="77777777" w:rsidR="0033349F" w:rsidRDefault="007476C3">
      <w:pPr>
        <w:pStyle w:val="ListParagraph"/>
        <w:numPr>
          <w:ilvl w:val="1"/>
          <w:numId w:val="3"/>
        </w:numPr>
        <w:tabs>
          <w:tab w:val="left" w:pos="1180"/>
          <w:tab w:val="left" w:pos="1181"/>
        </w:tabs>
        <w:spacing w:line="272" w:lineRule="exact"/>
      </w:pPr>
      <w:r>
        <w:t>Tax shall not be charged where the admission price is $10.00 or</w:t>
      </w:r>
      <w:r>
        <w:rPr>
          <w:spacing w:val="-12"/>
        </w:rPr>
        <w:t xml:space="preserve"> </w:t>
      </w:r>
      <w:r>
        <w:t>less.</w:t>
      </w:r>
    </w:p>
    <w:p w14:paraId="48AE85C3" w14:textId="77777777" w:rsidR="0033349F" w:rsidRDefault="007476C3">
      <w:pPr>
        <w:pStyle w:val="ListParagraph"/>
        <w:numPr>
          <w:ilvl w:val="1"/>
          <w:numId w:val="3"/>
        </w:numPr>
        <w:tabs>
          <w:tab w:val="left" w:pos="1180"/>
          <w:tab w:val="left" w:pos="1181"/>
        </w:tabs>
        <w:spacing w:line="272" w:lineRule="exact"/>
      </w:pPr>
      <w:r>
        <w:t>Maximum tax imposed on any single admission shall not exceed</w:t>
      </w:r>
      <w:r>
        <w:rPr>
          <w:spacing w:val="-16"/>
        </w:rPr>
        <w:t xml:space="preserve"> </w:t>
      </w:r>
      <w:r>
        <w:t>$2.00</w:t>
      </w:r>
    </w:p>
    <w:p w14:paraId="6A4E7031" w14:textId="77777777" w:rsidR="0033349F" w:rsidRDefault="0033349F">
      <w:pPr>
        <w:pStyle w:val="BodyText"/>
        <w:spacing w:before="6"/>
        <w:rPr>
          <w:sz w:val="21"/>
        </w:rPr>
      </w:pPr>
    </w:p>
    <w:p w14:paraId="5E32E649" w14:textId="77777777" w:rsidR="0033349F" w:rsidRDefault="007476C3">
      <w:pPr>
        <w:pStyle w:val="Heading1"/>
        <w:rPr>
          <w:u w:val="none"/>
        </w:rPr>
      </w:pPr>
      <w:r>
        <w:t>Specifics, examples under certain circumstances</w:t>
      </w:r>
    </w:p>
    <w:p w14:paraId="61B95A3B" w14:textId="77777777" w:rsidR="0033349F" w:rsidRDefault="0033349F">
      <w:pPr>
        <w:pStyle w:val="BodyText"/>
        <w:rPr>
          <w:b/>
        </w:rPr>
      </w:pPr>
    </w:p>
    <w:p w14:paraId="1EC76FDD" w14:textId="77777777" w:rsidR="0033349F" w:rsidRDefault="007476C3">
      <w:pPr>
        <w:pStyle w:val="ListParagraph"/>
        <w:numPr>
          <w:ilvl w:val="0"/>
          <w:numId w:val="3"/>
        </w:numPr>
        <w:tabs>
          <w:tab w:val="left" w:pos="820"/>
          <w:tab w:val="left" w:pos="821"/>
        </w:tabs>
        <w:spacing w:before="1" w:line="279" w:lineRule="exact"/>
      </w:pPr>
      <w:r>
        <w:t>Subscriptions – for multiple events, allocate tax across the</w:t>
      </w:r>
      <w:r>
        <w:rPr>
          <w:spacing w:val="-11"/>
        </w:rPr>
        <w:t xml:space="preserve"> </w:t>
      </w:r>
      <w:r>
        <w:t>events.</w:t>
      </w:r>
    </w:p>
    <w:p w14:paraId="641B305F" w14:textId="77777777" w:rsidR="0033349F" w:rsidRDefault="007476C3">
      <w:pPr>
        <w:pStyle w:val="ListParagraph"/>
        <w:numPr>
          <w:ilvl w:val="0"/>
          <w:numId w:val="3"/>
        </w:numPr>
        <w:tabs>
          <w:tab w:val="left" w:pos="820"/>
          <w:tab w:val="left" w:pos="821"/>
        </w:tabs>
        <w:ind w:right="692"/>
      </w:pPr>
      <w:r>
        <w:t>Multiple day events – sales should be based on the gross ticket price of the multiple event ticket.</w:t>
      </w:r>
    </w:p>
    <w:p w14:paraId="021BAA78" w14:textId="77777777" w:rsidR="0033349F" w:rsidRDefault="007476C3">
      <w:pPr>
        <w:pStyle w:val="ListParagraph"/>
        <w:numPr>
          <w:ilvl w:val="0"/>
          <w:numId w:val="3"/>
        </w:numPr>
        <w:tabs>
          <w:tab w:val="left" w:pos="820"/>
          <w:tab w:val="left" w:pos="821"/>
        </w:tabs>
        <w:ind w:right="308"/>
      </w:pPr>
      <w:r>
        <w:t>Discounts/group rates – the tax shall be based upon the discounted admission price; however, the tax is generated when any gross sales ticket price is over</w:t>
      </w:r>
      <w:r>
        <w:rPr>
          <w:spacing w:val="-17"/>
        </w:rPr>
        <w:t xml:space="preserve"> </w:t>
      </w:r>
      <w:r>
        <w:t>$10.00.</w:t>
      </w:r>
    </w:p>
    <w:p w14:paraId="7A677E07" w14:textId="77777777" w:rsidR="0033349F" w:rsidRDefault="007476C3">
      <w:pPr>
        <w:pStyle w:val="ListParagraph"/>
        <w:numPr>
          <w:ilvl w:val="0"/>
          <w:numId w:val="3"/>
        </w:numPr>
        <w:tabs>
          <w:tab w:val="left" w:pos="820"/>
          <w:tab w:val="left" w:pos="821"/>
        </w:tabs>
      </w:pPr>
      <w:r>
        <w:t>Examples:</w:t>
      </w:r>
    </w:p>
    <w:p w14:paraId="6F5ADAD6" w14:textId="77777777" w:rsidR="0033349F" w:rsidRDefault="007476C3">
      <w:pPr>
        <w:pStyle w:val="BodyText"/>
        <w:spacing w:before="3" w:after="4" w:line="237" w:lineRule="auto"/>
        <w:ind w:left="820" w:right="458"/>
      </w:pPr>
      <w:r>
        <w:t>There are 100 tickets being sold at $45, but 30 of them get a discounted rate of $9, the tax is calculated as follows:</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941"/>
        <w:gridCol w:w="874"/>
        <w:gridCol w:w="1293"/>
        <w:gridCol w:w="1027"/>
        <w:gridCol w:w="761"/>
        <w:gridCol w:w="1056"/>
      </w:tblGrid>
      <w:tr w:rsidR="0033349F" w14:paraId="263359C4" w14:textId="77777777">
        <w:trPr>
          <w:trHeight w:val="537"/>
        </w:trPr>
        <w:tc>
          <w:tcPr>
            <w:tcW w:w="670" w:type="dxa"/>
          </w:tcPr>
          <w:p w14:paraId="0B8A4419" w14:textId="77777777" w:rsidR="0033349F" w:rsidRDefault="0033349F">
            <w:pPr>
              <w:pStyle w:val="TableParagraph"/>
              <w:spacing w:line="240" w:lineRule="auto"/>
              <w:ind w:left="0"/>
              <w:rPr>
                <w:rFonts w:ascii="Times New Roman"/>
              </w:rPr>
            </w:pPr>
          </w:p>
        </w:tc>
        <w:tc>
          <w:tcPr>
            <w:tcW w:w="941" w:type="dxa"/>
          </w:tcPr>
          <w:p w14:paraId="52632C67" w14:textId="77777777" w:rsidR="0033349F" w:rsidRDefault="007476C3">
            <w:pPr>
              <w:pStyle w:val="TableParagraph"/>
              <w:spacing w:line="267" w:lineRule="exact"/>
            </w:pPr>
            <w:r>
              <w:t>#</w:t>
            </w:r>
          </w:p>
          <w:p w14:paraId="41AB4389" w14:textId="77777777" w:rsidR="0033349F" w:rsidRDefault="007476C3">
            <w:pPr>
              <w:pStyle w:val="TableParagraph"/>
              <w:spacing w:line="251" w:lineRule="exact"/>
            </w:pPr>
            <w:r>
              <w:t>tickets</w:t>
            </w:r>
          </w:p>
        </w:tc>
        <w:tc>
          <w:tcPr>
            <w:tcW w:w="874" w:type="dxa"/>
          </w:tcPr>
          <w:p w14:paraId="624AA99F" w14:textId="77777777" w:rsidR="0033349F" w:rsidRDefault="007476C3">
            <w:pPr>
              <w:pStyle w:val="TableParagraph"/>
              <w:spacing w:line="267" w:lineRule="exact"/>
            </w:pPr>
            <w:r>
              <w:t>Gross</w:t>
            </w:r>
          </w:p>
          <w:p w14:paraId="655A2435" w14:textId="77777777" w:rsidR="0033349F" w:rsidRDefault="007476C3">
            <w:pPr>
              <w:pStyle w:val="TableParagraph"/>
              <w:spacing w:line="251" w:lineRule="exact"/>
            </w:pPr>
            <w:r>
              <w:t>price</w:t>
            </w:r>
          </w:p>
        </w:tc>
        <w:tc>
          <w:tcPr>
            <w:tcW w:w="1293" w:type="dxa"/>
          </w:tcPr>
          <w:p w14:paraId="4E2BF13A" w14:textId="77777777" w:rsidR="0033349F" w:rsidRDefault="007476C3">
            <w:pPr>
              <w:pStyle w:val="TableParagraph"/>
              <w:spacing w:line="267" w:lineRule="exact"/>
            </w:pPr>
            <w:r>
              <w:t>Discounted</w:t>
            </w:r>
          </w:p>
          <w:p w14:paraId="06D20E19" w14:textId="77777777" w:rsidR="0033349F" w:rsidRDefault="007476C3">
            <w:pPr>
              <w:pStyle w:val="TableParagraph"/>
              <w:spacing w:line="251" w:lineRule="exact"/>
            </w:pPr>
            <w:r>
              <w:t>Price</w:t>
            </w:r>
          </w:p>
        </w:tc>
        <w:tc>
          <w:tcPr>
            <w:tcW w:w="1027" w:type="dxa"/>
          </w:tcPr>
          <w:p w14:paraId="43738842" w14:textId="77777777" w:rsidR="0033349F" w:rsidRDefault="007476C3">
            <w:pPr>
              <w:pStyle w:val="TableParagraph"/>
              <w:spacing w:line="267" w:lineRule="exact"/>
              <w:ind w:left="108"/>
            </w:pPr>
            <w:r>
              <w:t>Taxable</w:t>
            </w:r>
          </w:p>
          <w:p w14:paraId="423F2823" w14:textId="77777777" w:rsidR="0033349F" w:rsidRDefault="007476C3">
            <w:pPr>
              <w:pStyle w:val="TableParagraph"/>
              <w:spacing w:line="251" w:lineRule="exact"/>
              <w:ind w:left="108"/>
            </w:pPr>
            <w:r>
              <w:t>sales *</w:t>
            </w:r>
          </w:p>
        </w:tc>
        <w:tc>
          <w:tcPr>
            <w:tcW w:w="761" w:type="dxa"/>
          </w:tcPr>
          <w:p w14:paraId="0BF3B098" w14:textId="77777777" w:rsidR="0033349F" w:rsidRDefault="007476C3">
            <w:pPr>
              <w:pStyle w:val="TableParagraph"/>
              <w:spacing w:line="267" w:lineRule="exact"/>
              <w:ind w:left="108"/>
            </w:pPr>
            <w:r>
              <w:t>Tax</w:t>
            </w:r>
          </w:p>
          <w:p w14:paraId="1ECA5D96" w14:textId="77777777" w:rsidR="0033349F" w:rsidRDefault="007476C3">
            <w:pPr>
              <w:pStyle w:val="TableParagraph"/>
              <w:spacing w:line="251" w:lineRule="exact"/>
              <w:ind w:left="108"/>
            </w:pPr>
            <w:r>
              <w:t>rate</w:t>
            </w:r>
          </w:p>
        </w:tc>
        <w:tc>
          <w:tcPr>
            <w:tcW w:w="1056" w:type="dxa"/>
          </w:tcPr>
          <w:p w14:paraId="5474F6F8" w14:textId="77777777" w:rsidR="0033349F" w:rsidRDefault="007476C3">
            <w:pPr>
              <w:pStyle w:val="TableParagraph"/>
              <w:spacing w:line="268" w:lineRule="exact"/>
              <w:ind w:left="108"/>
            </w:pPr>
            <w:r>
              <w:t>Tax</w:t>
            </w:r>
          </w:p>
        </w:tc>
      </w:tr>
      <w:tr w:rsidR="0033349F" w14:paraId="6C862BC4" w14:textId="77777777">
        <w:trPr>
          <w:trHeight w:val="268"/>
        </w:trPr>
        <w:tc>
          <w:tcPr>
            <w:tcW w:w="670" w:type="dxa"/>
          </w:tcPr>
          <w:p w14:paraId="1B078D98" w14:textId="77777777" w:rsidR="0033349F" w:rsidRDefault="0033349F">
            <w:pPr>
              <w:pStyle w:val="TableParagraph"/>
              <w:spacing w:line="240" w:lineRule="auto"/>
              <w:ind w:left="0"/>
              <w:rPr>
                <w:rFonts w:ascii="Times New Roman"/>
                <w:sz w:val="18"/>
              </w:rPr>
            </w:pPr>
          </w:p>
        </w:tc>
        <w:tc>
          <w:tcPr>
            <w:tcW w:w="941" w:type="dxa"/>
          </w:tcPr>
          <w:p w14:paraId="0BCFCE73" w14:textId="77777777" w:rsidR="0033349F" w:rsidRDefault="007476C3">
            <w:pPr>
              <w:pStyle w:val="TableParagraph"/>
            </w:pPr>
            <w:r>
              <w:t>70</w:t>
            </w:r>
          </w:p>
        </w:tc>
        <w:tc>
          <w:tcPr>
            <w:tcW w:w="874" w:type="dxa"/>
          </w:tcPr>
          <w:p w14:paraId="3E2FB72B" w14:textId="77777777" w:rsidR="0033349F" w:rsidRDefault="007476C3">
            <w:pPr>
              <w:pStyle w:val="TableParagraph"/>
            </w:pPr>
            <w:r>
              <w:t>$45</w:t>
            </w:r>
          </w:p>
        </w:tc>
        <w:tc>
          <w:tcPr>
            <w:tcW w:w="1293" w:type="dxa"/>
          </w:tcPr>
          <w:p w14:paraId="4792B899" w14:textId="77777777" w:rsidR="0033349F" w:rsidRDefault="007476C3">
            <w:pPr>
              <w:pStyle w:val="TableParagraph"/>
            </w:pPr>
            <w:r>
              <w:t>n/a</w:t>
            </w:r>
          </w:p>
        </w:tc>
        <w:tc>
          <w:tcPr>
            <w:tcW w:w="1027" w:type="dxa"/>
          </w:tcPr>
          <w:p w14:paraId="62C0A676" w14:textId="77777777" w:rsidR="0033349F" w:rsidRDefault="007476C3">
            <w:pPr>
              <w:pStyle w:val="TableParagraph"/>
              <w:ind w:left="0" w:right="293"/>
              <w:jc w:val="right"/>
            </w:pPr>
            <w:r>
              <w:t>$2,800</w:t>
            </w:r>
          </w:p>
        </w:tc>
        <w:tc>
          <w:tcPr>
            <w:tcW w:w="761" w:type="dxa"/>
          </w:tcPr>
          <w:p w14:paraId="13BEF7C1" w14:textId="77777777" w:rsidR="0033349F" w:rsidRDefault="007476C3">
            <w:pPr>
              <w:pStyle w:val="TableParagraph"/>
              <w:ind w:left="108"/>
            </w:pPr>
            <w:r>
              <w:t>5%</w:t>
            </w:r>
          </w:p>
        </w:tc>
        <w:tc>
          <w:tcPr>
            <w:tcW w:w="1056" w:type="dxa"/>
          </w:tcPr>
          <w:p w14:paraId="20335665" w14:textId="77777777" w:rsidR="0033349F" w:rsidRDefault="007476C3">
            <w:pPr>
              <w:pStyle w:val="TableParagraph"/>
              <w:ind w:left="108"/>
            </w:pPr>
            <w:r>
              <w:t>$140.00</w:t>
            </w:r>
          </w:p>
        </w:tc>
      </w:tr>
      <w:tr w:rsidR="0033349F" w14:paraId="452440A9" w14:textId="77777777">
        <w:trPr>
          <w:trHeight w:val="268"/>
        </w:trPr>
        <w:tc>
          <w:tcPr>
            <w:tcW w:w="670" w:type="dxa"/>
          </w:tcPr>
          <w:p w14:paraId="7249FE8D" w14:textId="77777777" w:rsidR="0033349F" w:rsidRDefault="0033349F">
            <w:pPr>
              <w:pStyle w:val="TableParagraph"/>
              <w:spacing w:line="240" w:lineRule="auto"/>
              <w:ind w:left="0"/>
              <w:rPr>
                <w:rFonts w:ascii="Times New Roman"/>
                <w:sz w:val="18"/>
              </w:rPr>
            </w:pPr>
          </w:p>
        </w:tc>
        <w:tc>
          <w:tcPr>
            <w:tcW w:w="941" w:type="dxa"/>
          </w:tcPr>
          <w:p w14:paraId="1BB76D46" w14:textId="77777777" w:rsidR="0033349F" w:rsidRDefault="007476C3">
            <w:pPr>
              <w:pStyle w:val="TableParagraph"/>
            </w:pPr>
            <w:r>
              <w:t>30</w:t>
            </w:r>
          </w:p>
        </w:tc>
        <w:tc>
          <w:tcPr>
            <w:tcW w:w="874" w:type="dxa"/>
          </w:tcPr>
          <w:p w14:paraId="66E7C841" w14:textId="77777777" w:rsidR="0033349F" w:rsidRDefault="007476C3">
            <w:pPr>
              <w:pStyle w:val="TableParagraph"/>
            </w:pPr>
            <w:r>
              <w:t>$35</w:t>
            </w:r>
          </w:p>
        </w:tc>
        <w:tc>
          <w:tcPr>
            <w:tcW w:w="1293" w:type="dxa"/>
          </w:tcPr>
          <w:p w14:paraId="64FA5DCC" w14:textId="77777777" w:rsidR="0033349F" w:rsidRDefault="007476C3">
            <w:pPr>
              <w:pStyle w:val="TableParagraph"/>
            </w:pPr>
            <w:r>
              <w:t>$9</w:t>
            </w:r>
          </w:p>
        </w:tc>
        <w:tc>
          <w:tcPr>
            <w:tcW w:w="1027" w:type="dxa"/>
          </w:tcPr>
          <w:p w14:paraId="73ED426F" w14:textId="77777777" w:rsidR="0033349F" w:rsidRDefault="007476C3">
            <w:pPr>
              <w:pStyle w:val="TableParagraph"/>
              <w:ind w:left="0" w:right="322"/>
              <w:jc w:val="right"/>
            </w:pPr>
            <w:r>
              <w:t>270</w:t>
            </w:r>
          </w:p>
        </w:tc>
        <w:tc>
          <w:tcPr>
            <w:tcW w:w="761" w:type="dxa"/>
          </w:tcPr>
          <w:p w14:paraId="701A88AB" w14:textId="77777777" w:rsidR="0033349F" w:rsidRDefault="007476C3">
            <w:pPr>
              <w:pStyle w:val="TableParagraph"/>
              <w:ind w:left="108"/>
            </w:pPr>
            <w:r>
              <w:t>5%</w:t>
            </w:r>
          </w:p>
        </w:tc>
        <w:tc>
          <w:tcPr>
            <w:tcW w:w="1056" w:type="dxa"/>
          </w:tcPr>
          <w:p w14:paraId="44F9FB23" w14:textId="77777777" w:rsidR="0033349F" w:rsidRDefault="007476C3">
            <w:pPr>
              <w:pStyle w:val="TableParagraph"/>
              <w:ind w:left="307"/>
            </w:pPr>
            <w:r>
              <w:t>13.50</w:t>
            </w:r>
          </w:p>
        </w:tc>
      </w:tr>
      <w:tr w:rsidR="0033349F" w14:paraId="5A834F9B" w14:textId="77777777">
        <w:trPr>
          <w:trHeight w:val="270"/>
        </w:trPr>
        <w:tc>
          <w:tcPr>
            <w:tcW w:w="670" w:type="dxa"/>
          </w:tcPr>
          <w:p w14:paraId="1AD17029" w14:textId="77777777" w:rsidR="0033349F" w:rsidRDefault="007476C3">
            <w:pPr>
              <w:pStyle w:val="TableParagraph"/>
              <w:spacing w:line="251" w:lineRule="exact"/>
            </w:pPr>
            <w:r>
              <w:t>Total</w:t>
            </w:r>
          </w:p>
        </w:tc>
        <w:tc>
          <w:tcPr>
            <w:tcW w:w="941" w:type="dxa"/>
          </w:tcPr>
          <w:p w14:paraId="6FC8836C" w14:textId="77777777" w:rsidR="0033349F" w:rsidRDefault="007476C3">
            <w:pPr>
              <w:pStyle w:val="TableParagraph"/>
              <w:spacing w:line="251" w:lineRule="exact"/>
            </w:pPr>
            <w:r>
              <w:t>100</w:t>
            </w:r>
          </w:p>
        </w:tc>
        <w:tc>
          <w:tcPr>
            <w:tcW w:w="874" w:type="dxa"/>
          </w:tcPr>
          <w:p w14:paraId="7A66BEB7" w14:textId="77777777" w:rsidR="0033349F" w:rsidRDefault="0033349F">
            <w:pPr>
              <w:pStyle w:val="TableParagraph"/>
              <w:spacing w:line="240" w:lineRule="auto"/>
              <w:ind w:left="0"/>
              <w:rPr>
                <w:rFonts w:ascii="Times New Roman"/>
                <w:sz w:val="20"/>
              </w:rPr>
            </w:pPr>
          </w:p>
        </w:tc>
        <w:tc>
          <w:tcPr>
            <w:tcW w:w="1293" w:type="dxa"/>
          </w:tcPr>
          <w:p w14:paraId="52AF75AE" w14:textId="77777777" w:rsidR="0033349F" w:rsidRDefault="0033349F">
            <w:pPr>
              <w:pStyle w:val="TableParagraph"/>
              <w:spacing w:line="240" w:lineRule="auto"/>
              <w:ind w:left="0"/>
              <w:rPr>
                <w:rFonts w:ascii="Times New Roman"/>
                <w:sz w:val="20"/>
              </w:rPr>
            </w:pPr>
          </w:p>
        </w:tc>
        <w:tc>
          <w:tcPr>
            <w:tcW w:w="1027" w:type="dxa"/>
          </w:tcPr>
          <w:p w14:paraId="30427026" w14:textId="77777777" w:rsidR="0033349F" w:rsidRDefault="007476C3">
            <w:pPr>
              <w:pStyle w:val="TableParagraph"/>
              <w:spacing w:line="251" w:lineRule="exact"/>
              <w:ind w:left="0" w:right="293"/>
              <w:jc w:val="right"/>
            </w:pPr>
            <w:r>
              <w:t>$3,070</w:t>
            </w:r>
          </w:p>
        </w:tc>
        <w:tc>
          <w:tcPr>
            <w:tcW w:w="761" w:type="dxa"/>
          </w:tcPr>
          <w:p w14:paraId="7FD536C5" w14:textId="77777777" w:rsidR="0033349F" w:rsidRDefault="0033349F">
            <w:pPr>
              <w:pStyle w:val="TableParagraph"/>
              <w:spacing w:line="240" w:lineRule="auto"/>
              <w:ind w:left="0"/>
              <w:rPr>
                <w:rFonts w:ascii="Times New Roman"/>
                <w:sz w:val="20"/>
              </w:rPr>
            </w:pPr>
          </w:p>
        </w:tc>
        <w:tc>
          <w:tcPr>
            <w:tcW w:w="1056" w:type="dxa"/>
          </w:tcPr>
          <w:p w14:paraId="31A32305" w14:textId="77777777" w:rsidR="0033349F" w:rsidRDefault="007476C3">
            <w:pPr>
              <w:pStyle w:val="TableParagraph"/>
              <w:spacing w:line="251" w:lineRule="exact"/>
              <w:ind w:left="108"/>
            </w:pPr>
            <w:r>
              <w:t>$153.50</w:t>
            </w:r>
          </w:p>
        </w:tc>
      </w:tr>
    </w:tbl>
    <w:p w14:paraId="7A91D083" w14:textId="77777777" w:rsidR="0033349F" w:rsidRDefault="0033349F">
      <w:pPr>
        <w:pStyle w:val="BodyText"/>
        <w:spacing w:before="9"/>
        <w:rPr>
          <w:sz w:val="21"/>
        </w:rPr>
      </w:pPr>
    </w:p>
    <w:p w14:paraId="46F91E50" w14:textId="77777777" w:rsidR="0033349F" w:rsidRDefault="007476C3">
      <w:pPr>
        <w:pStyle w:val="BodyText"/>
        <w:ind w:left="820"/>
      </w:pPr>
      <w:r>
        <w:t>*$45 X 5% is above the maximum tax of $2.00, so the gross taxable sales were reduced to</w:t>
      </w:r>
    </w:p>
    <w:p w14:paraId="5E0CAC1E" w14:textId="77777777" w:rsidR="0033349F" w:rsidRDefault="007476C3">
      <w:pPr>
        <w:pStyle w:val="BodyText"/>
        <w:ind w:left="820"/>
      </w:pPr>
      <w:r>
        <w:t>$40/ticket. The 30 discounted tickets were still charged tax because the undiscounted ticket</w:t>
      </w:r>
    </w:p>
    <w:p w14:paraId="2733D890" w14:textId="77777777" w:rsidR="0033349F" w:rsidRDefault="0033349F">
      <w:pPr>
        <w:sectPr w:rsidR="0033349F" w:rsidSect="009A20F3">
          <w:footerReference w:type="default" r:id="rId7"/>
          <w:type w:val="continuous"/>
          <w:pgSz w:w="12240" w:h="15840"/>
          <w:pgMar w:top="1500" w:right="1340" w:bottom="940" w:left="1340" w:header="720" w:footer="746" w:gutter="0"/>
          <w:cols w:space="720"/>
        </w:sectPr>
      </w:pPr>
    </w:p>
    <w:p w14:paraId="0B07C1BD" w14:textId="77777777" w:rsidR="0033349F" w:rsidRDefault="007476C3">
      <w:pPr>
        <w:pStyle w:val="BodyText"/>
        <w:spacing w:before="37"/>
        <w:ind w:left="820" w:right="208"/>
      </w:pPr>
      <w:r>
        <w:lastRenderedPageBreak/>
        <w:t>price was over $10.00; however, the tax was calculated on the discounted ticket price. The tax is generated from the sales price of the ticket prior to discount.</w:t>
      </w:r>
    </w:p>
    <w:p w14:paraId="43A036B1" w14:textId="77777777" w:rsidR="0033349F" w:rsidRDefault="0033349F">
      <w:pPr>
        <w:pStyle w:val="BodyText"/>
      </w:pPr>
    </w:p>
    <w:p w14:paraId="745F05A1" w14:textId="77777777" w:rsidR="0033349F" w:rsidRDefault="0033349F">
      <w:pPr>
        <w:pStyle w:val="BodyText"/>
      </w:pPr>
    </w:p>
    <w:p w14:paraId="7C67EFD0" w14:textId="77777777" w:rsidR="0033349F" w:rsidRDefault="0033349F">
      <w:pPr>
        <w:pStyle w:val="BodyText"/>
        <w:spacing w:before="11"/>
        <w:rPr>
          <w:sz w:val="21"/>
        </w:rPr>
      </w:pPr>
    </w:p>
    <w:p w14:paraId="3A68085B" w14:textId="77777777" w:rsidR="0033349F" w:rsidRDefault="007476C3">
      <w:pPr>
        <w:pStyle w:val="ListParagraph"/>
        <w:numPr>
          <w:ilvl w:val="0"/>
          <w:numId w:val="3"/>
        </w:numPr>
        <w:tabs>
          <w:tab w:val="left" w:pos="820"/>
          <w:tab w:val="left" w:pos="821"/>
        </w:tabs>
      </w:pPr>
      <w:r>
        <w:t xml:space="preserve">Items </w:t>
      </w:r>
      <w:r>
        <w:rPr>
          <w:b/>
        </w:rPr>
        <w:t>not</w:t>
      </w:r>
      <w:r>
        <w:rPr>
          <w:b/>
          <w:spacing w:val="-2"/>
        </w:rPr>
        <w:t xml:space="preserve"> </w:t>
      </w:r>
      <w:r>
        <w:t>taxable:</w:t>
      </w:r>
    </w:p>
    <w:p w14:paraId="44156665" w14:textId="77777777" w:rsidR="0033349F" w:rsidRDefault="007476C3">
      <w:pPr>
        <w:pStyle w:val="ListParagraph"/>
        <w:numPr>
          <w:ilvl w:val="0"/>
          <w:numId w:val="2"/>
        </w:numPr>
        <w:tabs>
          <w:tab w:val="left" w:pos="1900"/>
          <w:tab w:val="left" w:pos="1901"/>
        </w:tabs>
        <w:spacing w:before="1" w:line="272" w:lineRule="exact"/>
      </w:pPr>
      <w:r>
        <w:t>Free passes for parents/students on opposing athletic</w:t>
      </w:r>
      <w:r>
        <w:rPr>
          <w:spacing w:val="-9"/>
        </w:rPr>
        <w:t xml:space="preserve"> </w:t>
      </w:r>
      <w:r>
        <w:t>teams.</w:t>
      </w:r>
    </w:p>
    <w:p w14:paraId="04061AA5" w14:textId="77777777" w:rsidR="0033349F" w:rsidRDefault="007476C3">
      <w:pPr>
        <w:pStyle w:val="ListParagraph"/>
        <w:numPr>
          <w:ilvl w:val="0"/>
          <w:numId w:val="2"/>
        </w:numPr>
        <w:tabs>
          <w:tab w:val="left" w:pos="1900"/>
          <w:tab w:val="left" w:pos="1901"/>
        </w:tabs>
        <w:spacing w:line="235" w:lineRule="auto"/>
        <w:ind w:right="213"/>
      </w:pPr>
      <w:r>
        <w:t>Reunions, tailgates and athletic banquets where the attendee is participating in the activity.</w:t>
      </w:r>
    </w:p>
    <w:p w14:paraId="7938D945" w14:textId="77777777" w:rsidR="0033349F" w:rsidRDefault="007476C3">
      <w:pPr>
        <w:pStyle w:val="ListParagraph"/>
        <w:numPr>
          <w:ilvl w:val="0"/>
          <w:numId w:val="2"/>
        </w:numPr>
        <w:tabs>
          <w:tab w:val="left" w:pos="1900"/>
          <w:tab w:val="left" w:pos="1901"/>
        </w:tabs>
        <w:spacing w:line="272" w:lineRule="exact"/>
      </w:pPr>
      <w:r>
        <w:t>Public school athletic</w:t>
      </w:r>
      <w:r>
        <w:rPr>
          <w:spacing w:val="-4"/>
        </w:rPr>
        <w:t xml:space="preserve"> </w:t>
      </w:r>
      <w:r>
        <w:t>events</w:t>
      </w:r>
    </w:p>
    <w:p w14:paraId="14F42827" w14:textId="77777777" w:rsidR="0033349F" w:rsidRDefault="007476C3">
      <w:pPr>
        <w:pStyle w:val="ListParagraph"/>
        <w:numPr>
          <w:ilvl w:val="0"/>
          <w:numId w:val="2"/>
        </w:numPr>
        <w:tabs>
          <w:tab w:val="left" w:pos="1900"/>
          <w:tab w:val="left" w:pos="1901"/>
        </w:tabs>
        <w:spacing w:line="269" w:lineRule="exact"/>
      </w:pPr>
      <w:r>
        <w:t>Athletic event entry</w:t>
      </w:r>
      <w:r>
        <w:rPr>
          <w:spacing w:val="-2"/>
        </w:rPr>
        <w:t xml:space="preserve"> </w:t>
      </w:r>
      <w:r>
        <w:t>fees</w:t>
      </w:r>
    </w:p>
    <w:p w14:paraId="75B50BD9" w14:textId="77777777" w:rsidR="0033349F" w:rsidRDefault="007476C3">
      <w:pPr>
        <w:pStyle w:val="ListParagraph"/>
        <w:numPr>
          <w:ilvl w:val="0"/>
          <w:numId w:val="2"/>
        </w:numPr>
        <w:tabs>
          <w:tab w:val="left" w:pos="1900"/>
          <w:tab w:val="left" w:pos="1901"/>
        </w:tabs>
        <w:spacing w:line="269" w:lineRule="exact"/>
      </w:pPr>
      <w:r>
        <w:t>Parking and service</w:t>
      </w:r>
      <w:r>
        <w:rPr>
          <w:spacing w:val="-2"/>
        </w:rPr>
        <w:t xml:space="preserve"> </w:t>
      </w:r>
      <w:r>
        <w:t>fees</w:t>
      </w:r>
    </w:p>
    <w:p w14:paraId="3D948010" w14:textId="77777777" w:rsidR="0033349F" w:rsidRDefault="007476C3">
      <w:pPr>
        <w:pStyle w:val="ListParagraph"/>
        <w:numPr>
          <w:ilvl w:val="0"/>
          <w:numId w:val="3"/>
        </w:numPr>
        <w:tabs>
          <w:tab w:val="left" w:pos="820"/>
          <w:tab w:val="left" w:pos="821"/>
        </w:tabs>
        <w:spacing w:line="276" w:lineRule="exact"/>
      </w:pPr>
      <w:r>
        <w:t>Other items to</w:t>
      </w:r>
      <w:r>
        <w:rPr>
          <w:spacing w:val="1"/>
        </w:rPr>
        <w:t xml:space="preserve"> </w:t>
      </w:r>
      <w:r>
        <w:t>note:</w:t>
      </w:r>
    </w:p>
    <w:p w14:paraId="0501C5F3" w14:textId="77777777" w:rsidR="0033349F" w:rsidRDefault="007476C3">
      <w:pPr>
        <w:pStyle w:val="ListParagraph"/>
        <w:numPr>
          <w:ilvl w:val="0"/>
          <w:numId w:val="1"/>
        </w:numPr>
        <w:tabs>
          <w:tab w:val="left" w:pos="1900"/>
          <w:tab w:val="left" w:pos="1901"/>
        </w:tabs>
        <w:spacing w:before="3" w:line="235" w:lineRule="auto"/>
        <w:ind w:right="635"/>
      </w:pPr>
      <w:r>
        <w:t>Pricing differences between “Adult”, “Child”, and “Senior” ticket prices are not considered ticket</w:t>
      </w:r>
      <w:r>
        <w:rPr>
          <w:spacing w:val="-4"/>
        </w:rPr>
        <w:t xml:space="preserve"> </w:t>
      </w:r>
      <w:r>
        <w:t>discounts.</w:t>
      </w:r>
    </w:p>
    <w:p w14:paraId="3013B07A" w14:textId="77777777" w:rsidR="0033349F" w:rsidRDefault="007476C3">
      <w:pPr>
        <w:pStyle w:val="ListParagraph"/>
        <w:numPr>
          <w:ilvl w:val="0"/>
          <w:numId w:val="1"/>
        </w:numPr>
        <w:tabs>
          <w:tab w:val="left" w:pos="1900"/>
          <w:tab w:val="left" w:pos="1901"/>
        </w:tabs>
        <w:spacing w:before="1" w:line="272" w:lineRule="exact"/>
      </w:pPr>
      <w:r>
        <w:t>NCAA and private school event tickets are</w:t>
      </w:r>
      <w:r>
        <w:rPr>
          <w:spacing w:val="-5"/>
        </w:rPr>
        <w:t xml:space="preserve"> </w:t>
      </w:r>
      <w:r>
        <w:t>taxable.</w:t>
      </w:r>
    </w:p>
    <w:p w14:paraId="7E6610CF" w14:textId="77777777" w:rsidR="0033349F" w:rsidRDefault="007476C3">
      <w:pPr>
        <w:pStyle w:val="ListParagraph"/>
        <w:numPr>
          <w:ilvl w:val="0"/>
          <w:numId w:val="1"/>
        </w:numPr>
        <w:tabs>
          <w:tab w:val="left" w:pos="1900"/>
          <w:tab w:val="left" w:pos="1901"/>
        </w:tabs>
        <w:spacing w:before="1" w:line="235" w:lineRule="auto"/>
        <w:ind w:right="253"/>
      </w:pPr>
      <w:r>
        <w:t>Charitable contributions that are separately itemized but remitted with ticket sales are not</w:t>
      </w:r>
      <w:r>
        <w:rPr>
          <w:spacing w:val="-1"/>
        </w:rPr>
        <w:t xml:space="preserve"> </w:t>
      </w:r>
      <w:r>
        <w:t>taxable.</w:t>
      </w:r>
    </w:p>
    <w:p w14:paraId="2C9FC2E5" w14:textId="77777777" w:rsidR="0033349F" w:rsidRDefault="0033349F">
      <w:pPr>
        <w:pStyle w:val="BodyText"/>
      </w:pPr>
    </w:p>
    <w:p w14:paraId="0804A209" w14:textId="77777777" w:rsidR="0033349F" w:rsidRDefault="007476C3">
      <w:pPr>
        <w:pStyle w:val="Heading1"/>
        <w:rPr>
          <w:u w:val="none"/>
        </w:rPr>
      </w:pPr>
      <w:r>
        <w:t>Filing the tax</w:t>
      </w:r>
    </w:p>
    <w:p w14:paraId="34C8FAC1" w14:textId="77777777" w:rsidR="0033349F" w:rsidRDefault="0033349F">
      <w:pPr>
        <w:pStyle w:val="BodyText"/>
        <w:spacing w:before="1"/>
        <w:rPr>
          <w:b/>
        </w:rPr>
      </w:pPr>
    </w:p>
    <w:p w14:paraId="1D487C88" w14:textId="2F9AB432" w:rsidR="0033349F" w:rsidRDefault="00EF79C7">
      <w:pPr>
        <w:pStyle w:val="ListParagraph"/>
        <w:numPr>
          <w:ilvl w:val="0"/>
          <w:numId w:val="3"/>
        </w:numPr>
        <w:tabs>
          <w:tab w:val="left" w:pos="820"/>
          <w:tab w:val="left" w:pos="821"/>
        </w:tabs>
        <w:spacing w:line="279" w:lineRule="exact"/>
      </w:pPr>
      <w:r>
        <w:t>O</w:t>
      </w:r>
      <w:r w:rsidR="007476C3">
        <w:t>n a monthly basis, sales and amusement tax collected must</w:t>
      </w:r>
      <w:r w:rsidR="007476C3">
        <w:rPr>
          <w:spacing w:val="-17"/>
        </w:rPr>
        <w:t xml:space="preserve"> </w:t>
      </w:r>
      <w:r w:rsidR="007476C3">
        <w:t>be</w:t>
      </w:r>
    </w:p>
    <w:p w14:paraId="00DE2CA6" w14:textId="7E2AE21D" w:rsidR="0033349F" w:rsidRDefault="007476C3">
      <w:pPr>
        <w:pStyle w:val="BodyText"/>
        <w:ind w:left="820" w:right="132"/>
      </w:pPr>
      <w:r>
        <w:t xml:space="preserve">reported </w:t>
      </w:r>
      <w:r w:rsidR="00690CEA">
        <w:t>to Brandon</w:t>
      </w:r>
      <w:r w:rsidR="00EF79C7">
        <w:t xml:space="preserve"> </w:t>
      </w:r>
      <w:r w:rsidR="00214DCC">
        <w:t>Maximowicz</w:t>
      </w:r>
      <w:r>
        <w:t xml:space="preserve">, </w:t>
      </w:r>
      <w:r w:rsidR="00EF79C7">
        <w:t>Tax Analyst</w:t>
      </w:r>
      <w:r>
        <w:t xml:space="preserve"> in the Controller’s office by the 10</w:t>
      </w:r>
      <w:r>
        <w:rPr>
          <w:vertAlign w:val="superscript"/>
        </w:rPr>
        <w:t>th</w:t>
      </w:r>
      <w:r>
        <w:t xml:space="preserve"> of the month following the prior month end so he can file the monthly tax return and taxes. Submit information on the following</w:t>
      </w:r>
      <w:r>
        <w:rPr>
          <w:spacing w:val="-3"/>
        </w:rPr>
        <w:t xml:space="preserve"> </w:t>
      </w:r>
      <w:r>
        <w:t>spreadsheet.</w:t>
      </w:r>
    </w:p>
    <w:p w14:paraId="66639B78" w14:textId="0CC1EA0E" w:rsidR="00E2400B" w:rsidRDefault="00EF79C7">
      <w:pPr>
        <w:pStyle w:val="BodyText"/>
        <w:ind w:left="820" w:right="132"/>
      </w:pPr>
      <w:hyperlink r:id="rId8" w:history="1">
        <w:r w:rsidR="00E2400B" w:rsidRPr="00E2400B">
          <w:rPr>
            <w:rStyle w:val="Hyperlink"/>
          </w:rPr>
          <w:t>City_of_Bethlehem_monthly_amusement_tax_report</w:t>
        </w:r>
        <w:r w:rsidR="00E2400B" w:rsidRPr="00E2400B">
          <w:rPr>
            <w:rStyle w:val="Hyperlink"/>
          </w:rPr>
          <w:t>i</w:t>
        </w:r>
        <w:r w:rsidR="00E2400B" w:rsidRPr="00E2400B">
          <w:rPr>
            <w:rStyle w:val="Hyperlink"/>
          </w:rPr>
          <w:t>ng form.xlsx</w:t>
        </w:r>
      </w:hyperlink>
    </w:p>
    <w:p w14:paraId="16502928" w14:textId="77777777" w:rsidR="0033349F" w:rsidRDefault="0033349F">
      <w:pPr>
        <w:pStyle w:val="BodyText"/>
        <w:spacing w:before="1"/>
      </w:pPr>
    </w:p>
    <w:p w14:paraId="1C47AB51" w14:textId="04002EC3" w:rsidR="0033349F" w:rsidRDefault="007476C3">
      <w:pPr>
        <w:pStyle w:val="ListParagraph"/>
        <w:numPr>
          <w:ilvl w:val="0"/>
          <w:numId w:val="3"/>
        </w:numPr>
        <w:tabs>
          <w:tab w:val="left" w:pos="820"/>
          <w:tab w:val="left" w:pos="821"/>
        </w:tabs>
        <w:ind w:right="210"/>
      </w:pPr>
      <w:r>
        <w:t xml:space="preserve">Any questions related to </w:t>
      </w:r>
      <w:r w:rsidR="00690CEA">
        <w:t>this tax</w:t>
      </w:r>
      <w:r>
        <w:t xml:space="preserve"> should be addressed to the </w:t>
      </w:r>
      <w:r w:rsidR="00EF79C7">
        <w:t>Assistant Controller</w:t>
      </w:r>
      <w:r>
        <w:t xml:space="preserve"> in the Controller’s Office: Email:</w:t>
      </w:r>
      <w:r>
        <w:rPr>
          <w:color w:val="0000FF"/>
          <w:spacing w:val="-2"/>
        </w:rPr>
        <w:t xml:space="preserve"> </w:t>
      </w:r>
      <w:hyperlink r:id="rId9">
        <w:r>
          <w:rPr>
            <w:color w:val="0000FF"/>
            <w:u w:val="single" w:color="0000FF"/>
          </w:rPr>
          <w:t>deb310@lehigh.edu</w:t>
        </w:r>
      </w:hyperlink>
    </w:p>
    <w:p w14:paraId="0483F65B" w14:textId="77777777" w:rsidR="0033349F" w:rsidRDefault="0033349F">
      <w:pPr>
        <w:pStyle w:val="BodyText"/>
        <w:spacing w:before="3"/>
        <w:rPr>
          <w:sz w:val="17"/>
        </w:rPr>
      </w:pPr>
    </w:p>
    <w:p w14:paraId="558EAFD0" w14:textId="77777777" w:rsidR="0033349F" w:rsidRDefault="007476C3">
      <w:pPr>
        <w:pStyle w:val="Heading1"/>
        <w:spacing w:before="56"/>
        <w:rPr>
          <w:u w:val="none"/>
        </w:rPr>
      </w:pPr>
      <w:r>
        <w:t>Permits</w:t>
      </w:r>
    </w:p>
    <w:p w14:paraId="5DFBA596" w14:textId="77777777" w:rsidR="0033349F" w:rsidRDefault="0033349F">
      <w:pPr>
        <w:pStyle w:val="BodyText"/>
        <w:spacing w:before="1"/>
        <w:rPr>
          <w:b/>
        </w:rPr>
      </w:pPr>
    </w:p>
    <w:p w14:paraId="1A0C6255" w14:textId="77777777" w:rsidR="0033349F" w:rsidRDefault="007476C3">
      <w:pPr>
        <w:pStyle w:val="ListParagraph"/>
        <w:numPr>
          <w:ilvl w:val="0"/>
          <w:numId w:val="3"/>
        </w:numPr>
        <w:tabs>
          <w:tab w:val="left" w:pos="820"/>
          <w:tab w:val="left" w:pos="821"/>
        </w:tabs>
      </w:pPr>
      <w:r>
        <w:t>Annually, the Controller’s office files a permanent permit on behalf of the entire</w:t>
      </w:r>
      <w:r>
        <w:rPr>
          <w:spacing w:val="-18"/>
        </w:rPr>
        <w:t xml:space="preserve"> </w:t>
      </w:r>
      <w:r>
        <w:t>University.</w:t>
      </w:r>
    </w:p>
    <w:p w14:paraId="2683AFF8" w14:textId="2B9FDBC1" w:rsidR="0033349F" w:rsidRDefault="007476C3" w:rsidP="00690CEA">
      <w:pPr>
        <w:pStyle w:val="ListParagraph"/>
        <w:numPr>
          <w:ilvl w:val="0"/>
          <w:numId w:val="3"/>
        </w:numPr>
        <w:tabs>
          <w:tab w:val="left" w:pos="820"/>
          <w:tab w:val="left" w:pos="821"/>
        </w:tabs>
        <w:spacing w:before="1"/>
        <w:ind w:right="110"/>
      </w:pPr>
      <w:r>
        <w:t>When external facility rentals are involved, whoever sells the tickets is responsible for filing their permit and remitting the taxes</w:t>
      </w:r>
      <w:r>
        <w:rPr>
          <w:spacing w:val="-8"/>
        </w:rPr>
        <w:t xml:space="preserve"> </w:t>
      </w:r>
      <w:r>
        <w:t>collected.</w:t>
      </w:r>
    </w:p>
    <w:sectPr w:rsidR="0033349F">
      <w:pgSz w:w="12240" w:h="15840"/>
      <w:pgMar w:top="1400" w:right="1340" w:bottom="940" w:left="13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71FF" w14:textId="77777777" w:rsidR="009A20F3" w:rsidRDefault="009A20F3">
      <w:r>
        <w:separator/>
      </w:r>
    </w:p>
  </w:endnote>
  <w:endnote w:type="continuationSeparator" w:id="0">
    <w:p w14:paraId="55F87E9C" w14:textId="77777777" w:rsidR="009A20F3" w:rsidRDefault="009A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1F62" w14:textId="791D3E2E" w:rsidR="0033349F" w:rsidRDefault="00EF79C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4CA058A" wp14:editId="127DA485">
              <wp:simplePos x="0" y="0"/>
              <wp:positionH relativeFrom="page">
                <wp:posOffset>901700</wp:posOffset>
              </wp:positionH>
              <wp:positionV relativeFrom="page">
                <wp:posOffset>9444990</wp:posOffset>
              </wp:positionV>
              <wp:extent cx="594931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36171" w14:textId="77777777" w:rsidR="0033349F" w:rsidRDefault="007476C3">
                          <w:pPr>
                            <w:pStyle w:val="BodyText"/>
                            <w:spacing w:line="245" w:lineRule="exact"/>
                            <w:ind w:left="20"/>
                          </w:pPr>
                          <w:r>
                            <w:t>I:\Tax\Website documents\City of Bethlehem Amusement Tax procedures and general information.docx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058A" id="_x0000_t202" coordsize="21600,21600" o:spt="202" path="m,l,21600r21600,l21600,xe">
              <v:stroke joinstyle="miter"/>
              <v:path gradientshapeok="t" o:connecttype="rect"/>
            </v:shapetype>
            <v:shape id="Text Box 1" o:spid="_x0000_s1026" type="#_x0000_t202" style="position:absolute;margin-left:71pt;margin-top:743.7pt;width:468.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" filled="f" stroked="f">
              <v:textbox inset="0,0,0,0">
                <w:txbxContent>
                  <w:p w14:paraId="35436171" w14:textId="77777777" w:rsidR="0033349F" w:rsidRDefault="007476C3">
                    <w:pPr>
                      <w:pStyle w:val="BodyText"/>
                      <w:spacing w:line="245" w:lineRule="exact"/>
                      <w:ind w:left="20"/>
                    </w:pPr>
                    <w:r>
                      <w:t>I:\Tax\Website documents\City of Bethlehem Amusement Tax procedures and general information.docx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03C7" w14:textId="77777777" w:rsidR="009A20F3" w:rsidRDefault="009A20F3">
      <w:r>
        <w:separator/>
      </w:r>
    </w:p>
  </w:footnote>
  <w:footnote w:type="continuationSeparator" w:id="0">
    <w:p w14:paraId="3832C853" w14:textId="77777777" w:rsidR="009A20F3" w:rsidRDefault="009A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D32"/>
    <w:multiLevelType w:val="hybridMultilevel"/>
    <w:tmpl w:val="10C8117E"/>
    <w:lvl w:ilvl="0" w:tplc="7BCCC8F2">
      <w:numFmt w:val="bullet"/>
      <w:lvlText w:val="o"/>
      <w:lvlJc w:val="left"/>
      <w:pPr>
        <w:ind w:left="1900" w:hanging="360"/>
      </w:pPr>
      <w:rPr>
        <w:rFonts w:ascii="Courier New" w:eastAsia="Courier New" w:hAnsi="Courier New" w:cs="Courier New" w:hint="default"/>
        <w:b/>
        <w:bCs/>
        <w:w w:val="100"/>
        <w:sz w:val="22"/>
        <w:szCs w:val="22"/>
        <w:lang w:val="en-US" w:eastAsia="en-US" w:bidi="en-US"/>
      </w:rPr>
    </w:lvl>
    <w:lvl w:ilvl="1" w:tplc="AA5652E2">
      <w:numFmt w:val="bullet"/>
      <w:lvlText w:val="•"/>
      <w:lvlJc w:val="left"/>
      <w:pPr>
        <w:ind w:left="2666" w:hanging="360"/>
      </w:pPr>
      <w:rPr>
        <w:rFonts w:hint="default"/>
        <w:lang w:val="en-US" w:eastAsia="en-US" w:bidi="en-US"/>
      </w:rPr>
    </w:lvl>
    <w:lvl w:ilvl="2" w:tplc="06FAF704">
      <w:numFmt w:val="bullet"/>
      <w:lvlText w:val="•"/>
      <w:lvlJc w:val="left"/>
      <w:pPr>
        <w:ind w:left="3432" w:hanging="360"/>
      </w:pPr>
      <w:rPr>
        <w:rFonts w:hint="default"/>
        <w:lang w:val="en-US" w:eastAsia="en-US" w:bidi="en-US"/>
      </w:rPr>
    </w:lvl>
    <w:lvl w:ilvl="3" w:tplc="EB4EC2A6">
      <w:numFmt w:val="bullet"/>
      <w:lvlText w:val="•"/>
      <w:lvlJc w:val="left"/>
      <w:pPr>
        <w:ind w:left="4198" w:hanging="360"/>
      </w:pPr>
      <w:rPr>
        <w:rFonts w:hint="default"/>
        <w:lang w:val="en-US" w:eastAsia="en-US" w:bidi="en-US"/>
      </w:rPr>
    </w:lvl>
    <w:lvl w:ilvl="4" w:tplc="E2849D76">
      <w:numFmt w:val="bullet"/>
      <w:lvlText w:val="•"/>
      <w:lvlJc w:val="left"/>
      <w:pPr>
        <w:ind w:left="4964" w:hanging="360"/>
      </w:pPr>
      <w:rPr>
        <w:rFonts w:hint="default"/>
        <w:lang w:val="en-US" w:eastAsia="en-US" w:bidi="en-US"/>
      </w:rPr>
    </w:lvl>
    <w:lvl w:ilvl="5" w:tplc="5972D81A">
      <w:numFmt w:val="bullet"/>
      <w:lvlText w:val="•"/>
      <w:lvlJc w:val="left"/>
      <w:pPr>
        <w:ind w:left="5730" w:hanging="360"/>
      </w:pPr>
      <w:rPr>
        <w:rFonts w:hint="default"/>
        <w:lang w:val="en-US" w:eastAsia="en-US" w:bidi="en-US"/>
      </w:rPr>
    </w:lvl>
    <w:lvl w:ilvl="6" w:tplc="FAB497E4">
      <w:numFmt w:val="bullet"/>
      <w:lvlText w:val="•"/>
      <w:lvlJc w:val="left"/>
      <w:pPr>
        <w:ind w:left="6496" w:hanging="360"/>
      </w:pPr>
      <w:rPr>
        <w:rFonts w:hint="default"/>
        <w:lang w:val="en-US" w:eastAsia="en-US" w:bidi="en-US"/>
      </w:rPr>
    </w:lvl>
    <w:lvl w:ilvl="7" w:tplc="AA3895B2">
      <w:numFmt w:val="bullet"/>
      <w:lvlText w:val="•"/>
      <w:lvlJc w:val="left"/>
      <w:pPr>
        <w:ind w:left="7262" w:hanging="360"/>
      </w:pPr>
      <w:rPr>
        <w:rFonts w:hint="default"/>
        <w:lang w:val="en-US" w:eastAsia="en-US" w:bidi="en-US"/>
      </w:rPr>
    </w:lvl>
    <w:lvl w:ilvl="8" w:tplc="3964428E">
      <w:numFmt w:val="bullet"/>
      <w:lvlText w:val="•"/>
      <w:lvlJc w:val="left"/>
      <w:pPr>
        <w:ind w:left="8028" w:hanging="360"/>
      </w:pPr>
      <w:rPr>
        <w:rFonts w:hint="default"/>
        <w:lang w:val="en-US" w:eastAsia="en-US" w:bidi="en-US"/>
      </w:rPr>
    </w:lvl>
  </w:abstractNum>
  <w:abstractNum w:abstractNumId="1" w15:restartNumberingAfterBreak="0">
    <w:nsid w:val="28EA646F"/>
    <w:multiLevelType w:val="hybridMultilevel"/>
    <w:tmpl w:val="88B87B34"/>
    <w:lvl w:ilvl="0" w:tplc="E9A2B04E">
      <w:numFmt w:val="bullet"/>
      <w:lvlText w:val=""/>
      <w:lvlJc w:val="left"/>
      <w:pPr>
        <w:ind w:left="820" w:hanging="360"/>
      </w:pPr>
      <w:rPr>
        <w:rFonts w:ascii="Symbol" w:eastAsia="Symbol" w:hAnsi="Symbol" w:cs="Symbol" w:hint="default"/>
        <w:w w:val="100"/>
        <w:sz w:val="22"/>
        <w:szCs w:val="22"/>
        <w:lang w:val="en-US" w:eastAsia="en-US" w:bidi="en-US"/>
      </w:rPr>
    </w:lvl>
    <w:lvl w:ilvl="1" w:tplc="37A40CD6">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tplc="AFCCDBCA">
      <w:numFmt w:val="bullet"/>
      <w:lvlText w:val="•"/>
      <w:lvlJc w:val="left"/>
      <w:pPr>
        <w:ind w:left="2111" w:hanging="360"/>
      </w:pPr>
      <w:rPr>
        <w:rFonts w:hint="default"/>
        <w:lang w:val="en-US" w:eastAsia="en-US" w:bidi="en-US"/>
      </w:rPr>
    </w:lvl>
    <w:lvl w:ilvl="3" w:tplc="8CB68858">
      <w:numFmt w:val="bullet"/>
      <w:lvlText w:val="•"/>
      <w:lvlJc w:val="left"/>
      <w:pPr>
        <w:ind w:left="3042" w:hanging="360"/>
      </w:pPr>
      <w:rPr>
        <w:rFonts w:hint="default"/>
        <w:lang w:val="en-US" w:eastAsia="en-US" w:bidi="en-US"/>
      </w:rPr>
    </w:lvl>
    <w:lvl w:ilvl="4" w:tplc="3A96126C">
      <w:numFmt w:val="bullet"/>
      <w:lvlText w:val="•"/>
      <w:lvlJc w:val="left"/>
      <w:pPr>
        <w:ind w:left="3973" w:hanging="360"/>
      </w:pPr>
      <w:rPr>
        <w:rFonts w:hint="default"/>
        <w:lang w:val="en-US" w:eastAsia="en-US" w:bidi="en-US"/>
      </w:rPr>
    </w:lvl>
    <w:lvl w:ilvl="5" w:tplc="0B808AA8">
      <w:numFmt w:val="bullet"/>
      <w:lvlText w:val="•"/>
      <w:lvlJc w:val="left"/>
      <w:pPr>
        <w:ind w:left="4904" w:hanging="360"/>
      </w:pPr>
      <w:rPr>
        <w:rFonts w:hint="default"/>
        <w:lang w:val="en-US" w:eastAsia="en-US" w:bidi="en-US"/>
      </w:rPr>
    </w:lvl>
    <w:lvl w:ilvl="6" w:tplc="C9E0316C">
      <w:numFmt w:val="bullet"/>
      <w:lvlText w:val="•"/>
      <w:lvlJc w:val="left"/>
      <w:pPr>
        <w:ind w:left="5835" w:hanging="360"/>
      </w:pPr>
      <w:rPr>
        <w:rFonts w:hint="default"/>
        <w:lang w:val="en-US" w:eastAsia="en-US" w:bidi="en-US"/>
      </w:rPr>
    </w:lvl>
    <w:lvl w:ilvl="7" w:tplc="53A665E8">
      <w:numFmt w:val="bullet"/>
      <w:lvlText w:val="•"/>
      <w:lvlJc w:val="left"/>
      <w:pPr>
        <w:ind w:left="6766" w:hanging="360"/>
      </w:pPr>
      <w:rPr>
        <w:rFonts w:hint="default"/>
        <w:lang w:val="en-US" w:eastAsia="en-US" w:bidi="en-US"/>
      </w:rPr>
    </w:lvl>
    <w:lvl w:ilvl="8" w:tplc="F2EE394E">
      <w:numFmt w:val="bullet"/>
      <w:lvlText w:val="•"/>
      <w:lvlJc w:val="left"/>
      <w:pPr>
        <w:ind w:left="7697" w:hanging="360"/>
      </w:pPr>
      <w:rPr>
        <w:rFonts w:hint="default"/>
        <w:lang w:val="en-US" w:eastAsia="en-US" w:bidi="en-US"/>
      </w:rPr>
    </w:lvl>
  </w:abstractNum>
  <w:abstractNum w:abstractNumId="2" w15:restartNumberingAfterBreak="0">
    <w:nsid w:val="488B30C0"/>
    <w:multiLevelType w:val="hybridMultilevel"/>
    <w:tmpl w:val="EFB45794"/>
    <w:lvl w:ilvl="0" w:tplc="1F5E9E00">
      <w:numFmt w:val="bullet"/>
      <w:lvlText w:val="o"/>
      <w:lvlJc w:val="left"/>
      <w:pPr>
        <w:ind w:left="1900" w:hanging="360"/>
      </w:pPr>
      <w:rPr>
        <w:rFonts w:ascii="Courier New" w:eastAsia="Courier New" w:hAnsi="Courier New" w:cs="Courier New" w:hint="default"/>
        <w:b/>
        <w:bCs/>
        <w:w w:val="100"/>
        <w:sz w:val="22"/>
        <w:szCs w:val="22"/>
        <w:lang w:val="en-US" w:eastAsia="en-US" w:bidi="en-US"/>
      </w:rPr>
    </w:lvl>
    <w:lvl w:ilvl="1" w:tplc="F396719E">
      <w:numFmt w:val="bullet"/>
      <w:lvlText w:val="•"/>
      <w:lvlJc w:val="left"/>
      <w:pPr>
        <w:ind w:left="2666" w:hanging="360"/>
      </w:pPr>
      <w:rPr>
        <w:rFonts w:hint="default"/>
        <w:lang w:val="en-US" w:eastAsia="en-US" w:bidi="en-US"/>
      </w:rPr>
    </w:lvl>
    <w:lvl w:ilvl="2" w:tplc="37401ADA">
      <w:numFmt w:val="bullet"/>
      <w:lvlText w:val="•"/>
      <w:lvlJc w:val="left"/>
      <w:pPr>
        <w:ind w:left="3432" w:hanging="360"/>
      </w:pPr>
      <w:rPr>
        <w:rFonts w:hint="default"/>
        <w:lang w:val="en-US" w:eastAsia="en-US" w:bidi="en-US"/>
      </w:rPr>
    </w:lvl>
    <w:lvl w:ilvl="3" w:tplc="84A6601A">
      <w:numFmt w:val="bullet"/>
      <w:lvlText w:val="•"/>
      <w:lvlJc w:val="left"/>
      <w:pPr>
        <w:ind w:left="4198" w:hanging="360"/>
      </w:pPr>
      <w:rPr>
        <w:rFonts w:hint="default"/>
        <w:lang w:val="en-US" w:eastAsia="en-US" w:bidi="en-US"/>
      </w:rPr>
    </w:lvl>
    <w:lvl w:ilvl="4" w:tplc="3AA8A51E">
      <w:numFmt w:val="bullet"/>
      <w:lvlText w:val="•"/>
      <w:lvlJc w:val="left"/>
      <w:pPr>
        <w:ind w:left="4964" w:hanging="360"/>
      </w:pPr>
      <w:rPr>
        <w:rFonts w:hint="default"/>
        <w:lang w:val="en-US" w:eastAsia="en-US" w:bidi="en-US"/>
      </w:rPr>
    </w:lvl>
    <w:lvl w:ilvl="5" w:tplc="EE5A9F78">
      <w:numFmt w:val="bullet"/>
      <w:lvlText w:val="•"/>
      <w:lvlJc w:val="left"/>
      <w:pPr>
        <w:ind w:left="5730" w:hanging="360"/>
      </w:pPr>
      <w:rPr>
        <w:rFonts w:hint="default"/>
        <w:lang w:val="en-US" w:eastAsia="en-US" w:bidi="en-US"/>
      </w:rPr>
    </w:lvl>
    <w:lvl w:ilvl="6" w:tplc="54A24AA8">
      <w:numFmt w:val="bullet"/>
      <w:lvlText w:val="•"/>
      <w:lvlJc w:val="left"/>
      <w:pPr>
        <w:ind w:left="6496" w:hanging="360"/>
      </w:pPr>
      <w:rPr>
        <w:rFonts w:hint="default"/>
        <w:lang w:val="en-US" w:eastAsia="en-US" w:bidi="en-US"/>
      </w:rPr>
    </w:lvl>
    <w:lvl w:ilvl="7" w:tplc="A3AA5F6A">
      <w:numFmt w:val="bullet"/>
      <w:lvlText w:val="•"/>
      <w:lvlJc w:val="left"/>
      <w:pPr>
        <w:ind w:left="7262" w:hanging="360"/>
      </w:pPr>
      <w:rPr>
        <w:rFonts w:hint="default"/>
        <w:lang w:val="en-US" w:eastAsia="en-US" w:bidi="en-US"/>
      </w:rPr>
    </w:lvl>
    <w:lvl w:ilvl="8" w:tplc="CA362AE8">
      <w:numFmt w:val="bullet"/>
      <w:lvlText w:val="•"/>
      <w:lvlJc w:val="left"/>
      <w:pPr>
        <w:ind w:left="8028" w:hanging="360"/>
      </w:pPr>
      <w:rPr>
        <w:rFonts w:hint="default"/>
        <w:lang w:val="en-US" w:eastAsia="en-US" w:bidi="en-US"/>
      </w:rPr>
    </w:lvl>
  </w:abstractNum>
  <w:num w:numId="1" w16cid:durableId="519125587">
    <w:abstractNumId w:val="0"/>
  </w:num>
  <w:num w:numId="2" w16cid:durableId="241258448">
    <w:abstractNumId w:val="2"/>
  </w:num>
  <w:num w:numId="3" w16cid:durableId="447165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9F"/>
    <w:rsid w:val="00214DCC"/>
    <w:rsid w:val="0033349F"/>
    <w:rsid w:val="00366485"/>
    <w:rsid w:val="003D0F74"/>
    <w:rsid w:val="00455B87"/>
    <w:rsid w:val="00690CEA"/>
    <w:rsid w:val="007476C3"/>
    <w:rsid w:val="009A20F3"/>
    <w:rsid w:val="00AD5C04"/>
    <w:rsid w:val="00E2400B"/>
    <w:rsid w:val="00E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0F16C"/>
  <w15:docId w15:val="{DCF5650F-5FCE-4088-A36C-D63CB473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48" w:lineRule="exact"/>
      <w:ind w:left="107"/>
    </w:pPr>
  </w:style>
  <w:style w:type="paragraph" w:styleId="BalloonText">
    <w:name w:val="Balloon Text"/>
    <w:basedOn w:val="Normal"/>
    <w:link w:val="BalloonTextChar"/>
    <w:uiPriority w:val="99"/>
    <w:semiHidden/>
    <w:unhideWhenUsed/>
    <w:rsid w:val="00E240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00B"/>
    <w:rPr>
      <w:rFonts w:ascii="Segoe UI" w:eastAsia="Calibri" w:hAnsi="Segoe UI" w:cs="Segoe UI"/>
      <w:sz w:val="18"/>
      <w:szCs w:val="18"/>
      <w:lang w:bidi="en-US"/>
    </w:rPr>
  </w:style>
  <w:style w:type="character" w:styleId="Hyperlink">
    <w:name w:val="Hyperlink"/>
    <w:basedOn w:val="DefaultParagraphFont"/>
    <w:uiPriority w:val="99"/>
    <w:unhideWhenUsed/>
    <w:rsid w:val="00E2400B"/>
    <w:rPr>
      <w:color w:val="0000FF" w:themeColor="hyperlink"/>
      <w:u w:val="single"/>
    </w:rPr>
  </w:style>
  <w:style w:type="character" w:styleId="FollowedHyperlink">
    <w:name w:val="FollowedHyperlink"/>
    <w:basedOn w:val="DefaultParagraphFont"/>
    <w:uiPriority w:val="99"/>
    <w:semiHidden/>
    <w:unhideWhenUsed/>
    <w:rsid w:val="00E2400B"/>
    <w:rPr>
      <w:color w:val="800080" w:themeColor="followedHyperlink"/>
      <w:u w:val="single"/>
    </w:rPr>
  </w:style>
  <w:style w:type="paragraph" w:styleId="Revision">
    <w:name w:val="Revision"/>
    <w:hidden/>
    <w:uiPriority w:val="99"/>
    <w:semiHidden/>
    <w:rsid w:val="00214DCC"/>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Deb310\Downloads\City_of_Bethlehem_monthly_amusement_tax_reporting%20form.xls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b310@lehig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Burkholder</dc:creator>
  <cp:lastModifiedBy>Brandon Maximowicz</cp:lastModifiedBy>
  <cp:revision>5</cp:revision>
  <cp:lastPrinted>2020-02-20T20:58:00Z</cp:lastPrinted>
  <dcterms:created xsi:type="dcterms:W3CDTF">2024-02-07T12:54:00Z</dcterms:created>
  <dcterms:modified xsi:type="dcterms:W3CDTF">2024-02-08T12:43:00Z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2015-02-02T00:00:00Z</vt:filetime>
  </property>
  <property fmtid="{D5CDD505-2E9C-101B-9397-08002B2CF9AE}" pid="3" name="Creator">
    <vt:lpwstr>Microsoft® Word 2013</vt:lpwstr>
  </property>
  <property fmtid="{D5CDD505-2E9C-101B-9397-08002B2CF9AE}" pid="4" name="LastSaved">
    <vt:filetime>2020-02-20T00:00:00Z</vt:filetime>
  </property>
</Properties>
</file>