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C9" w:rsidRPr="00976080" w:rsidRDefault="00E740C9" w:rsidP="00976080">
      <w:pPr>
        <w:shd w:val="clear" w:color="auto" w:fill="FFFFFF"/>
        <w:spacing w:after="360" w:line="360" w:lineRule="atLeast"/>
        <w:jc w:val="both"/>
        <w:rPr>
          <w:rFonts w:ascii="Tahoma" w:eastAsia="Times New Roman" w:hAnsi="Tahoma" w:cs="Tahoma"/>
          <w:color w:val="2F2A20"/>
        </w:rPr>
      </w:pPr>
      <w:bookmarkStart w:id="0" w:name="_GoBack"/>
      <w:bookmarkEnd w:id="0"/>
      <w:r w:rsidRPr="00976080">
        <w:rPr>
          <w:rFonts w:ascii="Tahoma" w:eastAsia="Times New Roman" w:hAnsi="Tahoma" w:cs="Tahoma"/>
          <w:color w:val="2F2A20"/>
        </w:rPr>
        <w:t>Uniform Guidance (“UG”) is a set of regulations (located at 2 CFR 200) that consolidates federal guidelines impacting research administration. Per the OMB website, this guidance “supersedes and streamlines requirements from OMB Circulars A-21, A-87, A-110, and A-122 (which have been placed in 2 C.F.R. Parts 220, 225, 215, and 230); Circulars A-89, A-102, and A-133; and the guidance in Circular A-50 on Single Audit Act follow-up.”</w:t>
      </w:r>
    </w:p>
    <w:p w:rsidR="00E740C9" w:rsidRPr="00976080" w:rsidRDefault="002D7683" w:rsidP="00976080">
      <w:pPr>
        <w:shd w:val="clear" w:color="auto" w:fill="FFFFFF"/>
        <w:spacing w:after="360" w:line="360" w:lineRule="atLeast"/>
        <w:jc w:val="both"/>
        <w:rPr>
          <w:rFonts w:ascii="Tahoma" w:eastAsia="Times New Roman" w:hAnsi="Tahoma" w:cs="Tahoma"/>
          <w:color w:val="2F2A20"/>
        </w:rPr>
      </w:pPr>
      <w:r>
        <w:rPr>
          <w:rFonts w:ascii="Tahoma" w:eastAsia="Times New Roman" w:hAnsi="Tahoma" w:cs="Tahoma"/>
          <w:color w:val="2F2A20"/>
        </w:rPr>
        <w:t xml:space="preserve">Link to the </w:t>
      </w:r>
      <w:r w:rsidR="00E740C9" w:rsidRPr="00976080">
        <w:rPr>
          <w:rFonts w:ascii="Tahoma" w:eastAsia="Times New Roman" w:hAnsi="Tahoma" w:cs="Tahoma"/>
          <w:color w:val="2F2A20"/>
        </w:rPr>
        <w:t>CFR (Code of Federal Regulations) </w:t>
      </w:r>
      <w:hyperlink r:id="rId5" w:anchor="se2.1.200_1320" w:history="1">
        <w:r w:rsidR="00E740C9" w:rsidRPr="00976080">
          <w:rPr>
            <w:rFonts w:ascii="Tahoma" w:eastAsia="Times New Roman" w:hAnsi="Tahoma" w:cs="Tahoma"/>
            <w:color w:val="996666"/>
            <w:u w:val="single"/>
          </w:rPr>
          <w:t>Uniform Guidance 200.320 Methods of procurement to be followed</w:t>
        </w:r>
      </w:hyperlink>
      <w:r w:rsidR="00E740C9" w:rsidRPr="00976080">
        <w:rPr>
          <w:rFonts w:ascii="Tahoma" w:eastAsia="Times New Roman" w:hAnsi="Tahoma" w:cs="Tahoma"/>
          <w:color w:val="2F2A20"/>
        </w:rPr>
        <w:t>.</w:t>
      </w:r>
    </w:p>
    <w:p w:rsidR="00E740C9" w:rsidRPr="00C020B6" w:rsidRDefault="00E740C9" w:rsidP="00976080">
      <w:pPr>
        <w:shd w:val="clear" w:color="auto" w:fill="FFFFFF"/>
        <w:spacing w:after="360" w:line="360" w:lineRule="atLeast"/>
        <w:jc w:val="both"/>
        <w:rPr>
          <w:rFonts w:ascii="Tahoma" w:eastAsia="Times New Roman" w:hAnsi="Tahoma" w:cs="Tahoma"/>
          <w:color w:val="2F2A20"/>
        </w:rPr>
      </w:pPr>
      <w:r w:rsidRPr="00C020B6">
        <w:rPr>
          <w:rFonts w:ascii="Tahoma" w:eastAsia="Times New Roman" w:hAnsi="Tahoma" w:cs="Tahoma"/>
          <w:b/>
          <w:bCs/>
          <w:iCs/>
          <w:color w:val="2F2A20"/>
        </w:rPr>
        <w:t xml:space="preserve">In order to keep policies for managing sponsored projects consistent, </w:t>
      </w:r>
      <w:r w:rsidR="00406E0C" w:rsidRPr="00C020B6">
        <w:rPr>
          <w:rFonts w:ascii="Tahoma" w:eastAsia="Times New Roman" w:hAnsi="Tahoma" w:cs="Tahoma"/>
          <w:b/>
          <w:bCs/>
          <w:iCs/>
          <w:color w:val="2F2A20"/>
        </w:rPr>
        <w:t xml:space="preserve">Lehigh </w:t>
      </w:r>
      <w:r w:rsidRPr="00C020B6">
        <w:rPr>
          <w:rFonts w:ascii="Tahoma" w:eastAsia="Times New Roman" w:hAnsi="Tahoma" w:cs="Tahoma"/>
          <w:b/>
          <w:bCs/>
          <w:iCs/>
          <w:color w:val="2F2A20"/>
        </w:rPr>
        <w:t xml:space="preserve">University </w:t>
      </w:r>
      <w:r w:rsidR="00406E0C" w:rsidRPr="00C020B6">
        <w:rPr>
          <w:rFonts w:ascii="Tahoma" w:eastAsia="Times New Roman" w:hAnsi="Tahoma" w:cs="Tahoma"/>
          <w:b/>
          <w:bCs/>
          <w:iCs/>
          <w:color w:val="2F2A20"/>
        </w:rPr>
        <w:t>implemented</w:t>
      </w:r>
      <w:r w:rsidRPr="00C020B6">
        <w:rPr>
          <w:rFonts w:ascii="Tahoma" w:eastAsia="Times New Roman" w:hAnsi="Tahoma" w:cs="Tahoma"/>
          <w:b/>
          <w:bCs/>
          <w:iCs/>
          <w:color w:val="2F2A20"/>
        </w:rPr>
        <w:t xml:space="preserve"> the Uniform Guidance Procurement Standards for all sponsored projects as of July 1, 2018.</w:t>
      </w: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b/>
          <w:bCs/>
          <w:color w:val="2F2A20"/>
        </w:rPr>
        <w:t>Goals of Uniform Guidance</w:t>
      </w: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color w:val="2F2A20"/>
        </w:rPr>
        <w:t>UG significantly reforms federal grant making to focus resources on improving performance and outcomes. The intent is to reduce administrative burdens for grant applicants and recipients and reduce the risk of waste, fraud, and abuse.</w:t>
      </w: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color w:val="2F2A20"/>
        </w:rPr>
        <w:t>Procurement guidance is specifically located in sections 200.317-200.326. This guidance focuses on increased competition and transparency in the procurement process.</w:t>
      </w: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color w:val="2F2A20"/>
        </w:rPr>
        <w:t>There are five general procurement standards that cover the purchase of property, supplies and services under the Uniform Guidance:</w:t>
      </w:r>
    </w:p>
    <w:p w:rsidR="00E740C9" w:rsidRPr="00976080" w:rsidRDefault="00E740C9" w:rsidP="00976080">
      <w:pPr>
        <w:numPr>
          <w:ilvl w:val="0"/>
          <w:numId w:val="10"/>
        </w:numPr>
        <w:shd w:val="clear" w:color="auto" w:fill="FFFFFF"/>
        <w:spacing w:after="100" w:afterAutospacing="1"/>
        <w:ind w:left="360"/>
        <w:jc w:val="both"/>
        <w:rPr>
          <w:rFonts w:ascii="Tahoma" w:eastAsia="Times New Roman" w:hAnsi="Tahoma" w:cs="Tahoma"/>
          <w:color w:val="2F2A20"/>
        </w:rPr>
      </w:pPr>
      <w:r w:rsidRPr="00976080">
        <w:rPr>
          <w:rFonts w:ascii="Tahoma" w:eastAsia="Times New Roman" w:hAnsi="Tahoma" w:cs="Tahoma"/>
          <w:color w:val="2F2A20"/>
        </w:rPr>
        <w:t>The organization must maintain written policies and procedures for procurement covering the methods available under these regulations.</w:t>
      </w:r>
    </w:p>
    <w:p w:rsidR="00E740C9" w:rsidRPr="00976080" w:rsidRDefault="00E740C9" w:rsidP="00976080">
      <w:pPr>
        <w:numPr>
          <w:ilvl w:val="0"/>
          <w:numId w:val="10"/>
        </w:numPr>
        <w:shd w:val="clear" w:color="auto" w:fill="FFFFFF"/>
        <w:spacing w:after="100" w:afterAutospacing="1"/>
        <w:ind w:left="360"/>
        <w:jc w:val="both"/>
        <w:rPr>
          <w:rFonts w:ascii="Tahoma" w:eastAsia="Times New Roman" w:hAnsi="Tahoma" w:cs="Tahoma"/>
          <w:color w:val="2F2A20"/>
        </w:rPr>
      </w:pPr>
      <w:r w:rsidRPr="00976080">
        <w:rPr>
          <w:rFonts w:ascii="Tahoma" w:eastAsia="Times New Roman" w:hAnsi="Tahoma" w:cs="Tahoma"/>
          <w:color w:val="2F2A20"/>
        </w:rPr>
        <w:t>Costs must be reasonable and necessary</w:t>
      </w:r>
    </w:p>
    <w:p w:rsidR="00E740C9" w:rsidRPr="00976080" w:rsidRDefault="00E740C9" w:rsidP="00976080">
      <w:pPr>
        <w:numPr>
          <w:ilvl w:val="0"/>
          <w:numId w:val="10"/>
        </w:numPr>
        <w:shd w:val="clear" w:color="auto" w:fill="FFFFFF"/>
        <w:spacing w:after="100" w:afterAutospacing="1"/>
        <w:ind w:left="360"/>
        <w:jc w:val="both"/>
        <w:rPr>
          <w:rFonts w:ascii="Tahoma" w:eastAsia="Times New Roman" w:hAnsi="Tahoma" w:cs="Tahoma"/>
          <w:color w:val="2F2A20"/>
        </w:rPr>
      </w:pPr>
      <w:r w:rsidRPr="00976080">
        <w:rPr>
          <w:rFonts w:ascii="Tahoma" w:eastAsia="Times New Roman" w:hAnsi="Tahoma" w:cs="Tahoma"/>
          <w:color w:val="2F2A20"/>
        </w:rPr>
        <w:t>Must provide for full and open competition</w:t>
      </w:r>
    </w:p>
    <w:p w:rsidR="00E740C9" w:rsidRPr="00976080" w:rsidRDefault="00E740C9" w:rsidP="00976080">
      <w:pPr>
        <w:numPr>
          <w:ilvl w:val="0"/>
          <w:numId w:val="10"/>
        </w:numPr>
        <w:shd w:val="clear" w:color="auto" w:fill="FFFFFF"/>
        <w:spacing w:after="100" w:afterAutospacing="1"/>
        <w:ind w:left="360"/>
        <w:jc w:val="both"/>
        <w:rPr>
          <w:rFonts w:ascii="Tahoma" w:eastAsia="Times New Roman" w:hAnsi="Tahoma" w:cs="Tahoma"/>
          <w:color w:val="2F2A20"/>
        </w:rPr>
      </w:pPr>
      <w:r w:rsidRPr="00976080">
        <w:rPr>
          <w:rFonts w:ascii="Tahoma" w:eastAsia="Times New Roman" w:hAnsi="Tahoma" w:cs="Tahoma"/>
          <w:color w:val="2F2A20"/>
        </w:rPr>
        <w:t>The organization must maintain written standards of conduct covering internal and external conflicts of interest</w:t>
      </w:r>
    </w:p>
    <w:p w:rsidR="00E740C9" w:rsidRPr="00976080" w:rsidRDefault="00E740C9" w:rsidP="00976080">
      <w:pPr>
        <w:numPr>
          <w:ilvl w:val="0"/>
          <w:numId w:val="10"/>
        </w:numPr>
        <w:shd w:val="clear" w:color="auto" w:fill="FFFFFF"/>
        <w:spacing w:after="100" w:afterAutospacing="1"/>
        <w:ind w:left="360"/>
        <w:jc w:val="both"/>
        <w:rPr>
          <w:rFonts w:ascii="Tahoma" w:eastAsia="Times New Roman" w:hAnsi="Tahoma" w:cs="Tahoma"/>
          <w:color w:val="2F2A20"/>
        </w:rPr>
      </w:pPr>
      <w:r w:rsidRPr="00976080">
        <w:rPr>
          <w:rFonts w:ascii="Tahoma" w:eastAsia="Times New Roman" w:hAnsi="Tahoma" w:cs="Tahoma"/>
          <w:color w:val="2F2A20"/>
        </w:rPr>
        <w:t>The organization must maintain documentation addressing cost and price analysis and vendor selections where applicable based on the method of procurement used.</w:t>
      </w: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color w:val="2F2A20"/>
        </w:rPr>
        <w:t xml:space="preserve">There are </w:t>
      </w:r>
      <w:r w:rsidR="00F535B8" w:rsidRPr="00976080">
        <w:rPr>
          <w:rFonts w:ascii="Tahoma" w:eastAsia="Times New Roman" w:hAnsi="Tahoma" w:cs="Tahoma"/>
          <w:color w:val="2F2A20"/>
        </w:rPr>
        <w:t>5</w:t>
      </w:r>
      <w:r w:rsidRPr="00976080">
        <w:rPr>
          <w:rFonts w:ascii="Tahoma" w:eastAsia="Times New Roman" w:hAnsi="Tahoma" w:cs="Tahoma"/>
          <w:color w:val="2F2A20"/>
        </w:rPr>
        <w:t xml:space="preserve"> available methods of procurement for each purchase which are summarized below:</w:t>
      </w:r>
    </w:p>
    <w:p w:rsidR="00406E0C" w:rsidRPr="00976080" w:rsidRDefault="00E740C9" w:rsidP="00976080">
      <w:pPr>
        <w:shd w:val="clear" w:color="auto" w:fill="FFFFFF"/>
        <w:spacing w:after="360" w:line="360" w:lineRule="atLeast"/>
        <w:jc w:val="both"/>
        <w:rPr>
          <w:rFonts w:ascii="Tahoma" w:eastAsia="Times New Roman" w:hAnsi="Tahoma" w:cs="Tahoma"/>
          <w:b/>
          <w:bCs/>
          <w:color w:val="2F2A20"/>
        </w:rPr>
      </w:pPr>
      <w:r w:rsidRPr="00976080">
        <w:rPr>
          <w:rFonts w:ascii="Tahoma" w:eastAsia="Times New Roman" w:hAnsi="Tahoma" w:cs="Tahoma"/>
          <w:b/>
          <w:bCs/>
          <w:color w:val="2F2A20"/>
        </w:rPr>
        <w:t xml:space="preserve">Micro-purchases:   up to $10,000* </w:t>
      </w:r>
    </w:p>
    <w:p w:rsidR="00406E0C"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The University must distribute micro-purchases equi</w:t>
      </w:r>
      <w:r w:rsidR="00406E0C" w:rsidRPr="00976080">
        <w:rPr>
          <w:rFonts w:ascii="Tahoma" w:eastAsia="Times New Roman" w:hAnsi="Tahoma" w:cs="Tahoma"/>
          <w:color w:val="2F2A20"/>
        </w:rPr>
        <w:t>tably among qualified suppliers.</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Micro-purchases may be awarded without so</w:t>
      </w:r>
      <w:r w:rsidR="00406E0C" w:rsidRPr="00976080">
        <w:rPr>
          <w:rFonts w:ascii="Tahoma" w:eastAsia="Times New Roman" w:hAnsi="Tahoma" w:cs="Tahoma"/>
          <w:color w:val="2F2A20"/>
        </w:rPr>
        <w:t>liciting competitive quotations</w:t>
      </w:r>
      <w:r w:rsidRPr="00976080">
        <w:rPr>
          <w:rFonts w:ascii="Tahoma" w:eastAsia="Times New Roman" w:hAnsi="Tahoma" w:cs="Tahoma"/>
          <w:color w:val="2F2A20"/>
        </w:rPr>
        <w:t>.</w:t>
      </w:r>
    </w:p>
    <w:p w:rsidR="002760AE" w:rsidRPr="00976080" w:rsidRDefault="002760AE" w:rsidP="00976080">
      <w:pPr>
        <w:shd w:val="clear" w:color="auto" w:fill="FFFFFF"/>
        <w:ind w:left="360"/>
        <w:jc w:val="both"/>
        <w:rPr>
          <w:rFonts w:ascii="Tahoma" w:eastAsia="Times New Roman" w:hAnsi="Tahoma" w:cs="Tahoma"/>
          <w:color w:val="2F2A20"/>
        </w:rPr>
      </w:pPr>
    </w:p>
    <w:p w:rsidR="002760AE" w:rsidRDefault="002760AE" w:rsidP="00976080">
      <w:pPr>
        <w:shd w:val="clear" w:color="auto" w:fill="FFFFFF"/>
        <w:ind w:left="360"/>
        <w:jc w:val="both"/>
        <w:rPr>
          <w:rFonts w:ascii="Tahoma" w:eastAsia="Times New Roman" w:hAnsi="Tahoma" w:cs="Tahoma"/>
          <w:color w:val="2F2A20"/>
        </w:rPr>
      </w:pPr>
    </w:p>
    <w:p w:rsidR="00E90EA5" w:rsidRPr="00976080" w:rsidRDefault="00E90EA5" w:rsidP="00976080">
      <w:pPr>
        <w:shd w:val="clear" w:color="auto" w:fill="FFFFFF"/>
        <w:ind w:left="360"/>
        <w:jc w:val="both"/>
        <w:rPr>
          <w:rFonts w:ascii="Tahoma" w:eastAsia="Times New Roman" w:hAnsi="Tahoma" w:cs="Tahoma"/>
          <w:color w:val="2F2A20"/>
        </w:rPr>
      </w:pP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b/>
          <w:bCs/>
          <w:color w:val="2F2A20"/>
        </w:rPr>
        <w:lastRenderedPageBreak/>
        <w:t>Small purchases: Between $</w:t>
      </w:r>
      <w:r w:rsidR="00406E0C" w:rsidRPr="00976080">
        <w:rPr>
          <w:rFonts w:ascii="Tahoma" w:eastAsia="Times New Roman" w:hAnsi="Tahoma" w:cs="Tahoma"/>
          <w:b/>
          <w:bCs/>
          <w:color w:val="2F2A20"/>
        </w:rPr>
        <w:t>10</w:t>
      </w:r>
      <w:r w:rsidRPr="00976080">
        <w:rPr>
          <w:rFonts w:ascii="Tahoma" w:eastAsia="Times New Roman" w:hAnsi="Tahoma" w:cs="Tahoma"/>
          <w:b/>
          <w:bCs/>
          <w:color w:val="2F2A20"/>
        </w:rPr>
        <w:t>,001 and $250,000</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Rate quotes must be obtained from an “adequate” number of qualified sources.   Three sources will be considered to have met this requirement.</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Quotes can be obtained from suppliers or from public websites and included as backup documentation for the purchase</w:t>
      </w:r>
      <w:r w:rsidR="00406E0C" w:rsidRPr="00976080">
        <w:rPr>
          <w:rFonts w:ascii="Tahoma" w:eastAsia="Times New Roman" w:hAnsi="Tahoma" w:cs="Tahoma"/>
          <w:color w:val="2F2A20"/>
        </w:rPr>
        <w:t>.</w:t>
      </w:r>
    </w:p>
    <w:p w:rsidR="002760AE" w:rsidRPr="00976080" w:rsidRDefault="002760AE" w:rsidP="00976080">
      <w:pPr>
        <w:shd w:val="clear" w:color="auto" w:fill="FFFFFF"/>
        <w:ind w:left="360"/>
        <w:jc w:val="both"/>
        <w:rPr>
          <w:rFonts w:ascii="Tahoma" w:eastAsia="Times New Roman" w:hAnsi="Tahoma" w:cs="Tahoma"/>
          <w:color w:val="2F2A20"/>
        </w:rPr>
      </w:pP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b/>
          <w:bCs/>
          <w:color w:val="2F2A20"/>
        </w:rPr>
        <w:t>Sealed bids: $250,001 and above</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Preferred method for procuring construction</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Two or more qualified bidders</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Bids are publicly solicited from an “adequate” number of known suppliers</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Lowest responsive and responsible bidder for the fixed price contract should be awarded the contract</w:t>
      </w:r>
    </w:p>
    <w:p w:rsidR="002760AE" w:rsidRPr="00976080" w:rsidRDefault="002760AE" w:rsidP="00976080">
      <w:pPr>
        <w:shd w:val="clear" w:color="auto" w:fill="FFFFFF"/>
        <w:ind w:left="360"/>
        <w:jc w:val="both"/>
        <w:rPr>
          <w:rFonts w:ascii="Tahoma" w:eastAsia="Times New Roman" w:hAnsi="Tahoma" w:cs="Tahoma"/>
          <w:color w:val="2F2A20"/>
        </w:rPr>
      </w:pP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b/>
          <w:bCs/>
          <w:color w:val="2F2A20"/>
        </w:rPr>
        <w:t>Competitive proposals: $250,001 and above</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Used for either a fixed price or cost reimbursement contract and sealed bids are not appropriate</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Requests for proposals must be publicized and identify all evaluation factors and their relative importance</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Proposals must be solicited from an adequate number of qualified sources</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Written policy for conducting technical evaluations of reviewing proposals and selecting the recipient</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Most advantageous bid wins, price and other factors considered</w:t>
      </w:r>
    </w:p>
    <w:p w:rsidR="00E90EA5" w:rsidRDefault="00E90EA5" w:rsidP="00976080">
      <w:pPr>
        <w:shd w:val="clear" w:color="auto" w:fill="FFFFFF"/>
        <w:spacing w:after="360" w:line="360" w:lineRule="atLeast"/>
        <w:jc w:val="both"/>
        <w:rPr>
          <w:rFonts w:ascii="Tahoma" w:eastAsia="Times New Roman" w:hAnsi="Tahoma" w:cs="Tahoma"/>
          <w:b/>
          <w:color w:val="2F2A20"/>
        </w:rPr>
      </w:pP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b/>
          <w:color w:val="2F2A20"/>
        </w:rPr>
        <w:t>Sole source</w:t>
      </w:r>
      <w:r w:rsidRPr="00976080">
        <w:rPr>
          <w:rFonts w:ascii="Tahoma" w:eastAsia="Times New Roman" w:hAnsi="Tahoma" w:cs="Tahoma"/>
          <w:color w:val="2F2A20"/>
        </w:rPr>
        <w:t>: For Procurement by noncompetitive proposals - any amount, must meet </w:t>
      </w:r>
      <w:r w:rsidRPr="00976080">
        <w:rPr>
          <w:rFonts w:ascii="Tahoma" w:eastAsia="Times New Roman" w:hAnsi="Tahoma" w:cs="Tahoma"/>
          <w:b/>
          <w:bCs/>
          <w:color w:val="2F2A20"/>
        </w:rPr>
        <w:t>one</w:t>
      </w:r>
      <w:r w:rsidRPr="00976080">
        <w:rPr>
          <w:rFonts w:ascii="Tahoma" w:eastAsia="Times New Roman" w:hAnsi="Tahoma" w:cs="Tahoma"/>
          <w:color w:val="2F2A20"/>
        </w:rPr>
        <w:t> of the following four requirements:</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The item is available only from a single source;</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The public exigency or emergency for the requirement will not permit a delay resulting from competitive solicitation;</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The Federal awarding agency or pass-through entity expressly authorizes noncompetitive proposals in response to a written request from the non-Federal entity (O</w:t>
      </w:r>
      <w:r w:rsidR="004F37BD" w:rsidRPr="00976080">
        <w:rPr>
          <w:rFonts w:ascii="Tahoma" w:eastAsia="Times New Roman" w:hAnsi="Tahoma" w:cs="Tahoma"/>
          <w:color w:val="2F2A20"/>
        </w:rPr>
        <w:t>R</w:t>
      </w:r>
      <w:r w:rsidRPr="00976080">
        <w:rPr>
          <w:rFonts w:ascii="Tahoma" w:eastAsia="Times New Roman" w:hAnsi="Tahoma" w:cs="Tahoma"/>
          <w:color w:val="2F2A20"/>
        </w:rPr>
        <w:t>SP should route such a request to the federal agency and will manage as an Agency “prior approval” request); or</w:t>
      </w:r>
    </w:p>
    <w:p w:rsidR="00E740C9" w:rsidRPr="00976080" w:rsidRDefault="00E740C9" w:rsidP="00976080">
      <w:pPr>
        <w:numPr>
          <w:ilvl w:val="0"/>
          <w:numId w:val="12"/>
        </w:numPr>
        <w:shd w:val="clear" w:color="auto" w:fill="FFFFFF"/>
        <w:ind w:left="360"/>
        <w:jc w:val="both"/>
        <w:rPr>
          <w:rFonts w:ascii="Tahoma" w:eastAsia="Times New Roman" w:hAnsi="Tahoma" w:cs="Tahoma"/>
          <w:color w:val="2F2A20"/>
        </w:rPr>
      </w:pPr>
      <w:r w:rsidRPr="00976080">
        <w:rPr>
          <w:rFonts w:ascii="Tahoma" w:eastAsia="Times New Roman" w:hAnsi="Tahoma" w:cs="Tahoma"/>
          <w:color w:val="2F2A20"/>
        </w:rPr>
        <w:t>After solicitation of a number of sources, competition is determined inadequate</w:t>
      </w:r>
    </w:p>
    <w:p w:rsidR="002760AE" w:rsidRPr="00976080" w:rsidRDefault="002760AE" w:rsidP="00976080">
      <w:pPr>
        <w:shd w:val="clear" w:color="auto" w:fill="FFFFFF"/>
        <w:ind w:left="360"/>
        <w:jc w:val="both"/>
        <w:rPr>
          <w:rFonts w:ascii="Tahoma" w:eastAsia="Times New Roman" w:hAnsi="Tahoma" w:cs="Tahoma"/>
          <w:color w:val="2F2A20"/>
        </w:rPr>
      </w:pPr>
    </w:p>
    <w:p w:rsidR="00E740C9" w:rsidRPr="00976080" w:rsidRDefault="00E740C9" w:rsidP="00976080">
      <w:pPr>
        <w:shd w:val="clear" w:color="auto" w:fill="FFFFFF"/>
        <w:spacing w:after="360" w:line="360" w:lineRule="atLeast"/>
        <w:jc w:val="both"/>
        <w:rPr>
          <w:rFonts w:ascii="Tahoma" w:eastAsia="Times New Roman" w:hAnsi="Tahoma" w:cs="Tahoma"/>
          <w:color w:val="2F2A20"/>
        </w:rPr>
      </w:pPr>
      <w:r w:rsidRPr="00976080">
        <w:rPr>
          <w:rFonts w:ascii="Tahoma" w:eastAsia="Times New Roman" w:hAnsi="Tahoma" w:cs="Tahoma"/>
          <w:b/>
          <w:bCs/>
          <w:color w:val="2F2A20"/>
        </w:rPr>
        <w:t>Additionally, every sole source will require a price/cost justification.  </w:t>
      </w:r>
      <w:r w:rsidRPr="00976080">
        <w:rPr>
          <w:rFonts w:ascii="Tahoma" w:eastAsia="Times New Roman" w:hAnsi="Tahoma" w:cs="Tahoma"/>
          <w:color w:val="2F2A20"/>
        </w:rPr>
        <w:t>Examples of methods of providing this documentation include:</w:t>
      </w:r>
    </w:p>
    <w:p w:rsidR="00E740C9" w:rsidRPr="00976080" w:rsidRDefault="00E740C9" w:rsidP="00976080">
      <w:pPr>
        <w:numPr>
          <w:ilvl w:val="0"/>
          <w:numId w:val="24"/>
        </w:numPr>
        <w:shd w:val="clear" w:color="auto" w:fill="FFFFFF"/>
        <w:spacing w:line="360" w:lineRule="atLeast"/>
        <w:ind w:left="360"/>
        <w:jc w:val="both"/>
        <w:rPr>
          <w:rFonts w:ascii="Tahoma" w:eastAsia="Times New Roman" w:hAnsi="Tahoma" w:cs="Tahoma"/>
          <w:color w:val="2F2A20"/>
        </w:rPr>
      </w:pPr>
      <w:r w:rsidRPr="00976080">
        <w:rPr>
          <w:rFonts w:ascii="Tahoma" w:eastAsia="Times New Roman" w:hAnsi="Tahoma" w:cs="Tahoma"/>
          <w:color w:val="2F2A20"/>
        </w:rPr>
        <w:t>documenting cost analysis efforts</w:t>
      </w:r>
    </w:p>
    <w:p w:rsidR="00E740C9" w:rsidRPr="00976080" w:rsidRDefault="00E740C9" w:rsidP="00976080">
      <w:pPr>
        <w:numPr>
          <w:ilvl w:val="0"/>
          <w:numId w:val="24"/>
        </w:numPr>
        <w:shd w:val="clear" w:color="auto" w:fill="FFFFFF"/>
        <w:spacing w:line="360" w:lineRule="atLeast"/>
        <w:ind w:left="360"/>
        <w:jc w:val="both"/>
        <w:rPr>
          <w:rFonts w:ascii="Tahoma" w:eastAsia="Times New Roman" w:hAnsi="Tahoma" w:cs="Tahoma"/>
          <w:color w:val="2F2A20"/>
        </w:rPr>
      </w:pPr>
      <w:r w:rsidRPr="00976080">
        <w:rPr>
          <w:rFonts w:ascii="Tahoma" w:eastAsia="Times New Roman" w:hAnsi="Tahoma" w:cs="Tahoma"/>
          <w:color w:val="2F2A20"/>
        </w:rPr>
        <w:t>documenting market research</w:t>
      </w:r>
    </w:p>
    <w:p w:rsidR="00E740C9" w:rsidRPr="00976080" w:rsidRDefault="00E740C9" w:rsidP="00976080">
      <w:pPr>
        <w:numPr>
          <w:ilvl w:val="0"/>
          <w:numId w:val="24"/>
        </w:numPr>
        <w:shd w:val="clear" w:color="auto" w:fill="FFFFFF"/>
        <w:spacing w:line="360" w:lineRule="atLeast"/>
        <w:ind w:left="360"/>
        <w:jc w:val="both"/>
        <w:rPr>
          <w:rFonts w:ascii="Tahoma" w:eastAsia="Times New Roman" w:hAnsi="Tahoma" w:cs="Tahoma"/>
          <w:color w:val="2F2A20"/>
        </w:rPr>
      </w:pPr>
      <w:r w:rsidRPr="00976080">
        <w:rPr>
          <w:rFonts w:ascii="Tahoma" w:eastAsia="Times New Roman" w:hAnsi="Tahoma" w:cs="Tahoma"/>
          <w:color w:val="2F2A20"/>
        </w:rPr>
        <w:t>including screenshots, emails, and/or catalog prices</w:t>
      </w:r>
    </w:p>
    <w:p w:rsidR="00E740C9" w:rsidRPr="00976080" w:rsidRDefault="00E740C9" w:rsidP="00976080">
      <w:pPr>
        <w:numPr>
          <w:ilvl w:val="0"/>
          <w:numId w:val="24"/>
        </w:numPr>
        <w:shd w:val="clear" w:color="auto" w:fill="FFFFFF"/>
        <w:spacing w:line="360" w:lineRule="atLeast"/>
        <w:ind w:left="360"/>
        <w:jc w:val="both"/>
        <w:rPr>
          <w:rFonts w:ascii="Tahoma" w:eastAsia="Times New Roman" w:hAnsi="Tahoma" w:cs="Tahoma"/>
          <w:color w:val="2F2A20"/>
        </w:rPr>
      </w:pPr>
      <w:r w:rsidRPr="00976080">
        <w:rPr>
          <w:rFonts w:ascii="Tahoma" w:eastAsia="Times New Roman" w:hAnsi="Tahoma" w:cs="Tahoma"/>
          <w:color w:val="2F2A20"/>
        </w:rPr>
        <w:t>documenting pricing information obtained from colleagues at peer institutions who have   purchased the same or similar items</w:t>
      </w:r>
    </w:p>
    <w:p w:rsidR="00E740C9" w:rsidRPr="00976080" w:rsidRDefault="00E740C9" w:rsidP="00976080">
      <w:pPr>
        <w:numPr>
          <w:ilvl w:val="0"/>
          <w:numId w:val="24"/>
        </w:numPr>
        <w:shd w:val="clear" w:color="auto" w:fill="FFFFFF"/>
        <w:spacing w:line="360" w:lineRule="atLeast"/>
        <w:ind w:left="360"/>
        <w:jc w:val="both"/>
        <w:rPr>
          <w:rFonts w:ascii="Tahoma" w:eastAsia="Times New Roman" w:hAnsi="Tahoma" w:cs="Tahoma"/>
          <w:color w:val="2F2A20"/>
        </w:rPr>
      </w:pPr>
      <w:r w:rsidRPr="00976080">
        <w:rPr>
          <w:rFonts w:ascii="Tahoma" w:eastAsia="Times New Roman" w:hAnsi="Tahoma" w:cs="Tahoma"/>
          <w:color w:val="2F2A20"/>
        </w:rPr>
        <w:t>documenting prices of similar items</w:t>
      </w:r>
    </w:p>
    <w:p w:rsidR="004F37BD" w:rsidRPr="00976080" w:rsidRDefault="004F37BD" w:rsidP="00976080">
      <w:pPr>
        <w:shd w:val="clear" w:color="auto" w:fill="FFFFFF"/>
        <w:spacing w:line="360" w:lineRule="atLeast"/>
        <w:ind w:left="360"/>
        <w:jc w:val="both"/>
        <w:rPr>
          <w:rFonts w:ascii="Tahoma" w:eastAsia="Times New Roman" w:hAnsi="Tahoma" w:cs="Tahoma"/>
          <w:color w:val="2F2A20"/>
        </w:rPr>
      </w:pPr>
    </w:p>
    <w:p w:rsidR="00E90EA5" w:rsidRDefault="00E90EA5" w:rsidP="00976080">
      <w:pPr>
        <w:shd w:val="clear" w:color="auto" w:fill="FFFFFF"/>
        <w:spacing w:after="360" w:line="360" w:lineRule="atLeast"/>
        <w:jc w:val="both"/>
        <w:rPr>
          <w:rFonts w:ascii="Tahoma" w:eastAsia="Times New Roman" w:hAnsi="Tahoma" w:cs="Tahoma"/>
          <w:b/>
          <w:bCs/>
          <w:color w:val="2F2A20"/>
        </w:rPr>
      </w:pPr>
    </w:p>
    <w:p w:rsidR="00650C6E" w:rsidRPr="00976080" w:rsidRDefault="00650C6E" w:rsidP="004F37BD">
      <w:pPr>
        <w:shd w:val="clear" w:color="auto" w:fill="FFFFFF"/>
        <w:spacing w:after="360" w:line="360" w:lineRule="atLeast"/>
        <w:rPr>
          <w:rFonts w:ascii="Georgia" w:eastAsia="Times New Roman" w:hAnsi="Georgia" w:cs="Times New Roman"/>
          <w:color w:val="2F2A20"/>
        </w:rPr>
      </w:pPr>
    </w:p>
    <w:tbl>
      <w:tblPr>
        <w:tblpPr w:leftFromText="180" w:rightFromText="180" w:vertAnchor="page" w:horzAnchor="margin" w:tblpY="1739"/>
        <w:tblW w:w="11018" w:type="dxa"/>
        <w:shd w:val="clear" w:color="auto" w:fill="F0EFEF"/>
        <w:tblLayout w:type="fixed"/>
        <w:tblCellMar>
          <w:top w:w="15" w:type="dxa"/>
          <w:left w:w="15" w:type="dxa"/>
          <w:bottom w:w="15" w:type="dxa"/>
          <w:right w:w="15" w:type="dxa"/>
        </w:tblCellMar>
        <w:tblLook w:val="04A0" w:firstRow="1" w:lastRow="0" w:firstColumn="1" w:lastColumn="0" w:noHBand="0" w:noVBand="1"/>
      </w:tblPr>
      <w:tblGrid>
        <w:gridCol w:w="2250"/>
        <w:gridCol w:w="2025"/>
        <w:gridCol w:w="6743"/>
      </w:tblGrid>
      <w:tr w:rsidR="00650C6E" w:rsidRPr="00E91D53" w:rsidTr="00F52923">
        <w:trPr>
          <w:tblHeader/>
        </w:trPr>
        <w:tc>
          <w:tcPr>
            <w:tcW w:w="2250" w:type="dxa"/>
            <w:shd w:val="clear" w:color="auto" w:fill="C8712D"/>
            <w:tcMar>
              <w:top w:w="120" w:type="dxa"/>
              <w:left w:w="150" w:type="dxa"/>
              <w:bottom w:w="150" w:type="dxa"/>
              <w:right w:w="150" w:type="dxa"/>
            </w:tcMar>
            <w:vAlign w:val="center"/>
            <w:hideMark/>
          </w:tcPr>
          <w:p w:rsidR="00650C6E" w:rsidRPr="00E91D53" w:rsidRDefault="00650C6E" w:rsidP="00F52923">
            <w:pPr>
              <w:spacing w:after="300" w:line="270" w:lineRule="atLeast"/>
              <w:rPr>
                <w:rFonts w:ascii="MuseoSans-300" w:eastAsia="Times New Roman" w:hAnsi="MuseoSans-300" w:cs="Times New Roman"/>
                <w:b/>
                <w:bCs/>
                <w:color w:val="FFFFFF"/>
                <w:spacing w:val="15"/>
                <w:sz w:val="20"/>
                <w:szCs w:val="20"/>
              </w:rPr>
            </w:pPr>
            <w:r w:rsidRPr="00E91D53">
              <w:rPr>
                <w:rFonts w:ascii="MuseoSans-300" w:eastAsia="Times New Roman" w:hAnsi="MuseoSans-300" w:cs="Times New Roman"/>
                <w:b/>
                <w:bCs/>
                <w:color w:val="FFFFFF"/>
                <w:spacing w:val="15"/>
                <w:sz w:val="20"/>
                <w:szCs w:val="20"/>
              </w:rPr>
              <w:t>Methodology</w:t>
            </w:r>
          </w:p>
        </w:tc>
        <w:tc>
          <w:tcPr>
            <w:tcW w:w="2025" w:type="dxa"/>
            <w:shd w:val="clear" w:color="auto" w:fill="C8712D"/>
            <w:tcMar>
              <w:top w:w="120" w:type="dxa"/>
              <w:left w:w="150" w:type="dxa"/>
              <w:bottom w:w="150" w:type="dxa"/>
              <w:right w:w="150" w:type="dxa"/>
            </w:tcMar>
            <w:vAlign w:val="center"/>
            <w:hideMark/>
          </w:tcPr>
          <w:p w:rsidR="00650C6E" w:rsidRPr="00E91D53" w:rsidRDefault="00650C6E" w:rsidP="00F52923">
            <w:pPr>
              <w:spacing w:after="300" w:line="270" w:lineRule="atLeast"/>
              <w:rPr>
                <w:rFonts w:ascii="MuseoSans-300" w:eastAsia="Times New Roman" w:hAnsi="MuseoSans-300" w:cs="Times New Roman"/>
                <w:b/>
                <w:bCs/>
                <w:color w:val="FFFFFF"/>
                <w:spacing w:val="15"/>
                <w:sz w:val="20"/>
                <w:szCs w:val="20"/>
              </w:rPr>
            </w:pPr>
            <w:r w:rsidRPr="00E91D53">
              <w:rPr>
                <w:rFonts w:ascii="MuseoSans-300" w:eastAsia="Times New Roman" w:hAnsi="MuseoSans-300" w:cs="Times New Roman"/>
                <w:b/>
                <w:bCs/>
                <w:color w:val="FFFFFF"/>
                <w:spacing w:val="15"/>
                <w:sz w:val="20"/>
                <w:szCs w:val="20"/>
              </w:rPr>
              <w:t>Dollar Threshold</w:t>
            </w:r>
          </w:p>
        </w:tc>
        <w:tc>
          <w:tcPr>
            <w:tcW w:w="6743" w:type="dxa"/>
            <w:shd w:val="clear" w:color="auto" w:fill="C8712D"/>
            <w:tcMar>
              <w:top w:w="120" w:type="dxa"/>
              <w:left w:w="150" w:type="dxa"/>
              <w:bottom w:w="150" w:type="dxa"/>
              <w:right w:w="150" w:type="dxa"/>
            </w:tcMar>
            <w:vAlign w:val="center"/>
            <w:hideMark/>
          </w:tcPr>
          <w:p w:rsidR="00650C6E" w:rsidRPr="00E91D53" w:rsidRDefault="00650C6E" w:rsidP="00F52923">
            <w:pPr>
              <w:spacing w:after="300" w:line="270" w:lineRule="atLeast"/>
              <w:rPr>
                <w:rFonts w:ascii="MuseoSans-300" w:eastAsia="Times New Roman" w:hAnsi="MuseoSans-300" w:cs="Times New Roman"/>
                <w:b/>
                <w:bCs/>
                <w:color w:val="FFFFFF"/>
                <w:spacing w:val="15"/>
                <w:sz w:val="20"/>
                <w:szCs w:val="20"/>
              </w:rPr>
            </w:pPr>
            <w:r w:rsidRPr="00E91D53">
              <w:rPr>
                <w:rFonts w:ascii="MuseoSans-300" w:eastAsia="Times New Roman" w:hAnsi="MuseoSans-300" w:cs="Times New Roman"/>
                <w:b/>
                <w:bCs/>
                <w:color w:val="FFFFFF"/>
                <w:spacing w:val="15"/>
                <w:sz w:val="20"/>
                <w:szCs w:val="20"/>
              </w:rPr>
              <w:t>Requirements</w:t>
            </w:r>
          </w:p>
        </w:tc>
      </w:tr>
      <w:tr w:rsidR="00650C6E" w:rsidRPr="00E91D53" w:rsidTr="00F52923">
        <w:tc>
          <w:tcPr>
            <w:tcW w:w="2250" w:type="dxa"/>
            <w:shd w:val="clear" w:color="auto" w:fill="F0EFEF"/>
            <w:tcMar>
              <w:top w:w="135" w:type="dxa"/>
              <w:left w:w="150" w:type="dxa"/>
              <w:bottom w:w="135" w:type="dxa"/>
              <w:right w:w="150" w:type="dxa"/>
            </w:tcMar>
            <w:vAlign w:val="center"/>
            <w:hideMark/>
          </w:tcPr>
          <w:p w:rsidR="00650C6E" w:rsidRPr="00E91D53" w:rsidRDefault="00650C6E" w:rsidP="00F52923">
            <w:pPr>
              <w:spacing w:after="300"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Micro-purchase</w:t>
            </w:r>
          </w:p>
        </w:tc>
        <w:tc>
          <w:tcPr>
            <w:tcW w:w="2025" w:type="dxa"/>
            <w:shd w:val="clear" w:color="auto" w:fill="F0EFEF"/>
            <w:tcMar>
              <w:top w:w="135" w:type="dxa"/>
              <w:left w:w="150" w:type="dxa"/>
              <w:bottom w:w="135" w:type="dxa"/>
              <w:right w:w="150" w:type="dxa"/>
            </w:tcMar>
            <w:vAlign w:val="center"/>
            <w:hideMark/>
          </w:tcPr>
          <w:p w:rsidR="00650C6E" w:rsidRPr="00E91D53" w:rsidRDefault="00650C6E" w:rsidP="00F52923">
            <w:pPr>
              <w:spacing w:after="300"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Not to exceed micro-purchase threshold: </w:t>
            </w:r>
            <w:r w:rsidRPr="00E91D53">
              <w:rPr>
                <w:rFonts w:ascii="MuseoSans-300" w:eastAsia="Times New Roman" w:hAnsi="MuseoSans-300" w:cs="Times New Roman"/>
                <w:color w:val="404041"/>
                <w:sz w:val="20"/>
                <w:szCs w:val="20"/>
              </w:rPr>
              <w:br/>
              <w:t>$0 – $10,000</w:t>
            </w:r>
          </w:p>
        </w:tc>
        <w:tc>
          <w:tcPr>
            <w:tcW w:w="6743" w:type="dxa"/>
            <w:shd w:val="clear" w:color="auto" w:fill="F0EFEF"/>
            <w:tcMar>
              <w:top w:w="135" w:type="dxa"/>
              <w:left w:w="150" w:type="dxa"/>
              <w:bottom w:w="135" w:type="dxa"/>
              <w:right w:w="150" w:type="dxa"/>
            </w:tcMar>
            <w:vAlign w:val="center"/>
            <w:hideMark/>
          </w:tcPr>
          <w:p w:rsidR="00650C6E" w:rsidRPr="00E91D53" w:rsidRDefault="00650C6E" w:rsidP="00F52923">
            <w:pPr>
              <w:numPr>
                <w:ilvl w:val="0"/>
                <w:numId w:val="25"/>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No bid or quote required if price is reasonable. Reasonableness could be determined by comparing the price to past purchases or other published prices and/or requesting prices from more than one vendor.</w:t>
            </w:r>
          </w:p>
          <w:p w:rsidR="00650C6E" w:rsidRPr="00E91D53" w:rsidRDefault="00650C6E" w:rsidP="00F52923">
            <w:pPr>
              <w:numPr>
                <w:ilvl w:val="0"/>
                <w:numId w:val="25"/>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Distributed equitably among a range of qualified vendors when practical</w:t>
            </w:r>
          </w:p>
        </w:tc>
      </w:tr>
      <w:tr w:rsidR="00650C6E" w:rsidRPr="00E91D53" w:rsidTr="00F52923">
        <w:tc>
          <w:tcPr>
            <w:tcW w:w="2250" w:type="dxa"/>
            <w:shd w:val="clear" w:color="auto" w:fill="DAD8D7"/>
            <w:tcMar>
              <w:top w:w="135" w:type="dxa"/>
              <w:left w:w="150" w:type="dxa"/>
              <w:bottom w:w="135" w:type="dxa"/>
              <w:right w:w="150" w:type="dxa"/>
            </w:tcMar>
            <w:vAlign w:val="center"/>
            <w:hideMark/>
          </w:tcPr>
          <w:p w:rsidR="00650C6E" w:rsidRPr="00E91D53" w:rsidRDefault="00650C6E" w:rsidP="00F52923">
            <w:pPr>
              <w:spacing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Small purchase procedure</w:t>
            </w:r>
          </w:p>
        </w:tc>
        <w:tc>
          <w:tcPr>
            <w:tcW w:w="2025" w:type="dxa"/>
            <w:shd w:val="clear" w:color="auto" w:fill="DAD8D7"/>
            <w:tcMar>
              <w:top w:w="135" w:type="dxa"/>
              <w:left w:w="150" w:type="dxa"/>
              <w:bottom w:w="135" w:type="dxa"/>
              <w:right w:w="150" w:type="dxa"/>
            </w:tcMar>
            <w:vAlign w:val="center"/>
            <w:hideMark/>
          </w:tcPr>
          <w:p w:rsidR="00650C6E" w:rsidRPr="00E91D53" w:rsidRDefault="00650C6E" w:rsidP="00F52923">
            <w:pPr>
              <w:spacing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Greater than micro-purchase, not to exceed the simplified acquisition threshold: </w:t>
            </w:r>
            <w:r w:rsidRPr="00E91D53">
              <w:rPr>
                <w:rFonts w:ascii="MuseoSans-300" w:eastAsia="Times New Roman" w:hAnsi="MuseoSans-300" w:cs="Times New Roman"/>
                <w:color w:val="404041"/>
                <w:sz w:val="20"/>
                <w:szCs w:val="20"/>
              </w:rPr>
              <w:br/>
              <w:t>$10,001 – $250,000</w:t>
            </w:r>
          </w:p>
        </w:tc>
        <w:tc>
          <w:tcPr>
            <w:tcW w:w="6743" w:type="dxa"/>
            <w:shd w:val="clear" w:color="auto" w:fill="DAD8D7"/>
            <w:tcMar>
              <w:top w:w="135" w:type="dxa"/>
              <w:left w:w="150" w:type="dxa"/>
              <w:bottom w:w="135" w:type="dxa"/>
              <w:right w:w="150" w:type="dxa"/>
            </w:tcMar>
            <w:vAlign w:val="center"/>
            <w:hideMark/>
          </w:tcPr>
          <w:p w:rsidR="00650C6E" w:rsidRPr="00E91D53" w:rsidRDefault="00650C6E" w:rsidP="00F52923">
            <w:pPr>
              <w:numPr>
                <w:ilvl w:val="0"/>
                <w:numId w:val="26"/>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Price or rate quotes must be obtained at least 3 vendors</w:t>
            </w:r>
          </w:p>
          <w:p w:rsidR="00650C6E" w:rsidRPr="00E91D53" w:rsidRDefault="00650C6E" w:rsidP="00F52923">
            <w:pPr>
              <w:numPr>
                <w:ilvl w:val="0"/>
                <w:numId w:val="26"/>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Can be via web search quotes</w:t>
            </w:r>
          </w:p>
          <w:p w:rsidR="00650C6E" w:rsidRPr="00E91D53" w:rsidRDefault="00650C6E" w:rsidP="00F52923">
            <w:pPr>
              <w:numPr>
                <w:ilvl w:val="0"/>
                <w:numId w:val="26"/>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All quotes must be documented and kept on file</w:t>
            </w:r>
          </w:p>
          <w:p w:rsidR="00650C6E" w:rsidRPr="00E91D53" w:rsidRDefault="00650C6E" w:rsidP="00F52923">
            <w:pPr>
              <w:numPr>
                <w:ilvl w:val="0"/>
                <w:numId w:val="26"/>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Price does not need to be deciding factor, but all quotes need to be kept in procurement records</w:t>
            </w:r>
          </w:p>
        </w:tc>
      </w:tr>
      <w:tr w:rsidR="00650C6E" w:rsidRPr="00E91D53" w:rsidTr="00F52923">
        <w:tc>
          <w:tcPr>
            <w:tcW w:w="2250" w:type="dxa"/>
            <w:shd w:val="clear" w:color="auto" w:fill="F0EFEF"/>
            <w:tcMar>
              <w:top w:w="135" w:type="dxa"/>
              <w:left w:w="150" w:type="dxa"/>
              <w:bottom w:w="135" w:type="dxa"/>
              <w:right w:w="150" w:type="dxa"/>
            </w:tcMar>
            <w:vAlign w:val="center"/>
            <w:hideMark/>
          </w:tcPr>
          <w:p w:rsidR="00650C6E" w:rsidRPr="00E91D53" w:rsidRDefault="00650C6E" w:rsidP="00F52923">
            <w:pPr>
              <w:spacing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Sealed bid</w:t>
            </w:r>
          </w:p>
        </w:tc>
        <w:tc>
          <w:tcPr>
            <w:tcW w:w="2025" w:type="dxa"/>
            <w:shd w:val="clear" w:color="auto" w:fill="F0EFEF"/>
            <w:tcMar>
              <w:top w:w="135" w:type="dxa"/>
              <w:left w:w="150" w:type="dxa"/>
              <w:bottom w:w="135" w:type="dxa"/>
              <w:right w:w="150" w:type="dxa"/>
            </w:tcMar>
            <w:vAlign w:val="center"/>
            <w:hideMark/>
          </w:tcPr>
          <w:p w:rsidR="00650C6E" w:rsidRPr="00E91D53" w:rsidRDefault="00650C6E" w:rsidP="00F52923">
            <w:pPr>
              <w:spacing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Greater than the simplified acquisition threshold: </w:t>
            </w:r>
            <w:r w:rsidRPr="00E91D53">
              <w:rPr>
                <w:rFonts w:ascii="MuseoSans-300" w:eastAsia="Times New Roman" w:hAnsi="MuseoSans-300" w:cs="Times New Roman"/>
                <w:color w:val="404041"/>
                <w:sz w:val="20"/>
                <w:szCs w:val="20"/>
              </w:rPr>
              <w:br/>
              <w:t>$250,001 and greater</w:t>
            </w:r>
          </w:p>
        </w:tc>
        <w:tc>
          <w:tcPr>
            <w:tcW w:w="6743" w:type="dxa"/>
            <w:shd w:val="clear" w:color="auto" w:fill="F0EFEF"/>
            <w:tcMar>
              <w:top w:w="135" w:type="dxa"/>
              <w:left w:w="150" w:type="dxa"/>
              <w:bottom w:w="135" w:type="dxa"/>
              <w:right w:w="150" w:type="dxa"/>
            </w:tcMar>
            <w:vAlign w:val="center"/>
            <w:hideMark/>
          </w:tcPr>
          <w:p w:rsidR="00650C6E" w:rsidRPr="00E91D53" w:rsidRDefault="00650C6E" w:rsidP="00F52923">
            <w:pPr>
              <w:numPr>
                <w:ilvl w:val="0"/>
                <w:numId w:val="27"/>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Selection of successful bidder can be made principally on the basis of price</w:t>
            </w:r>
          </w:p>
          <w:p w:rsidR="00650C6E" w:rsidRPr="00E91D53" w:rsidRDefault="00650C6E" w:rsidP="00F52923">
            <w:pPr>
              <w:numPr>
                <w:ilvl w:val="0"/>
                <w:numId w:val="27"/>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Bids must be solicited from an adequate number of known suppliers, providing sufficient response time</w:t>
            </w:r>
          </w:p>
          <w:p w:rsidR="00650C6E" w:rsidRPr="00E91D53" w:rsidRDefault="00650C6E" w:rsidP="00F52923">
            <w:pPr>
              <w:numPr>
                <w:ilvl w:val="0"/>
                <w:numId w:val="27"/>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Invitation for bids must define the items or services in order for bidders to properly respond</w:t>
            </w:r>
          </w:p>
          <w:p w:rsidR="00650C6E" w:rsidRPr="00E91D53" w:rsidRDefault="00650C6E" w:rsidP="00F52923">
            <w:pPr>
              <w:numPr>
                <w:ilvl w:val="0"/>
                <w:numId w:val="27"/>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 xml:space="preserve">All bids will be opened at time and place prescribed in invitation. </w:t>
            </w:r>
          </w:p>
          <w:p w:rsidR="00650C6E" w:rsidRPr="00E91D53" w:rsidRDefault="00650C6E" w:rsidP="00F52923">
            <w:pPr>
              <w:numPr>
                <w:ilvl w:val="0"/>
                <w:numId w:val="27"/>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Firm fixed price contract made in writing to the lowest responsible bidder</w:t>
            </w:r>
          </w:p>
          <w:p w:rsidR="00650C6E" w:rsidRPr="00E91D53" w:rsidRDefault="00650C6E" w:rsidP="00F52923">
            <w:pPr>
              <w:numPr>
                <w:ilvl w:val="0"/>
                <w:numId w:val="27"/>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Any or all bids may be rejected if there is a sound documented reason</w:t>
            </w:r>
          </w:p>
        </w:tc>
      </w:tr>
      <w:tr w:rsidR="00650C6E" w:rsidRPr="00E91D53" w:rsidTr="00F52923">
        <w:tc>
          <w:tcPr>
            <w:tcW w:w="2250" w:type="dxa"/>
            <w:shd w:val="clear" w:color="auto" w:fill="DAD8D7"/>
            <w:tcMar>
              <w:top w:w="135" w:type="dxa"/>
              <w:left w:w="150" w:type="dxa"/>
              <w:bottom w:w="135" w:type="dxa"/>
              <w:right w:w="150" w:type="dxa"/>
            </w:tcMar>
            <w:vAlign w:val="center"/>
            <w:hideMark/>
          </w:tcPr>
          <w:p w:rsidR="00650C6E" w:rsidRPr="00E91D53" w:rsidRDefault="00650C6E" w:rsidP="00F52923">
            <w:pPr>
              <w:spacing w:line="270" w:lineRule="atLeast"/>
              <w:ind w:right="448"/>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Competitive proposal</w:t>
            </w:r>
          </w:p>
        </w:tc>
        <w:tc>
          <w:tcPr>
            <w:tcW w:w="2025" w:type="dxa"/>
            <w:shd w:val="clear" w:color="auto" w:fill="DAD8D7"/>
            <w:tcMar>
              <w:top w:w="135" w:type="dxa"/>
              <w:left w:w="150" w:type="dxa"/>
              <w:bottom w:w="135" w:type="dxa"/>
              <w:right w:w="150" w:type="dxa"/>
            </w:tcMar>
            <w:vAlign w:val="center"/>
            <w:hideMark/>
          </w:tcPr>
          <w:p w:rsidR="00650C6E" w:rsidRPr="00E91D53" w:rsidRDefault="00650C6E" w:rsidP="00F52923">
            <w:pPr>
              <w:spacing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Greater than the simplified acquisition threshold: </w:t>
            </w:r>
            <w:r w:rsidRPr="00E91D53">
              <w:rPr>
                <w:rFonts w:ascii="MuseoSans-300" w:eastAsia="Times New Roman" w:hAnsi="MuseoSans-300" w:cs="Times New Roman"/>
                <w:color w:val="404041"/>
                <w:sz w:val="20"/>
                <w:szCs w:val="20"/>
              </w:rPr>
              <w:br/>
              <w:t>$250,001 and greater</w:t>
            </w:r>
          </w:p>
        </w:tc>
        <w:tc>
          <w:tcPr>
            <w:tcW w:w="6743" w:type="dxa"/>
            <w:shd w:val="clear" w:color="auto" w:fill="DAD8D7"/>
            <w:tcMar>
              <w:top w:w="135" w:type="dxa"/>
              <w:left w:w="150" w:type="dxa"/>
              <w:bottom w:w="135" w:type="dxa"/>
              <w:right w:w="150" w:type="dxa"/>
            </w:tcMar>
            <w:vAlign w:val="center"/>
            <w:hideMark/>
          </w:tcPr>
          <w:p w:rsidR="00650C6E" w:rsidRPr="00E91D53" w:rsidRDefault="00650C6E" w:rsidP="00F52923">
            <w:pPr>
              <w:numPr>
                <w:ilvl w:val="0"/>
                <w:numId w:val="28"/>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Must be publicized and identify all evaluation factors and their relative importance</w:t>
            </w:r>
          </w:p>
          <w:p w:rsidR="00650C6E" w:rsidRPr="00E91D53" w:rsidRDefault="00650C6E" w:rsidP="00F52923">
            <w:pPr>
              <w:numPr>
                <w:ilvl w:val="0"/>
                <w:numId w:val="28"/>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Must be solicited from an adequate number of qualified sources</w:t>
            </w:r>
          </w:p>
          <w:p w:rsidR="00650C6E" w:rsidRPr="00E91D53" w:rsidRDefault="00650C6E" w:rsidP="00F52923">
            <w:pPr>
              <w:numPr>
                <w:ilvl w:val="0"/>
                <w:numId w:val="28"/>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Must have a written method for conducting technical evaluations of the proposals and selecting recipients</w:t>
            </w:r>
          </w:p>
          <w:p w:rsidR="00650C6E" w:rsidRPr="00E91D53" w:rsidRDefault="00650C6E" w:rsidP="00F52923">
            <w:pPr>
              <w:numPr>
                <w:ilvl w:val="0"/>
                <w:numId w:val="28"/>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Contracts must be awarded to the responsible vendor whose proposal is most advantageous, with price and other factors considered</w:t>
            </w:r>
          </w:p>
        </w:tc>
      </w:tr>
      <w:tr w:rsidR="00650C6E" w:rsidRPr="00E91D53" w:rsidTr="00F52923">
        <w:tc>
          <w:tcPr>
            <w:tcW w:w="2250" w:type="dxa"/>
            <w:shd w:val="clear" w:color="auto" w:fill="F0EFEF"/>
            <w:tcMar>
              <w:top w:w="135" w:type="dxa"/>
              <w:left w:w="150" w:type="dxa"/>
              <w:bottom w:w="135" w:type="dxa"/>
              <w:right w:w="150" w:type="dxa"/>
            </w:tcMar>
            <w:vAlign w:val="center"/>
            <w:hideMark/>
          </w:tcPr>
          <w:p w:rsidR="00650C6E" w:rsidRPr="00E91D53" w:rsidRDefault="00650C6E" w:rsidP="00F52923">
            <w:pPr>
              <w:spacing w:line="270" w:lineRule="atLeast"/>
              <w:ind w:right="448"/>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Non-competitive proposal (sole source)</w:t>
            </w:r>
          </w:p>
        </w:tc>
        <w:tc>
          <w:tcPr>
            <w:tcW w:w="2025" w:type="dxa"/>
            <w:shd w:val="clear" w:color="auto" w:fill="F0EFEF"/>
            <w:tcMar>
              <w:top w:w="135" w:type="dxa"/>
              <w:left w:w="150" w:type="dxa"/>
              <w:bottom w:w="135" w:type="dxa"/>
              <w:right w:w="150" w:type="dxa"/>
            </w:tcMar>
            <w:vAlign w:val="center"/>
            <w:hideMark/>
          </w:tcPr>
          <w:p w:rsidR="00650C6E" w:rsidRPr="00E91D53" w:rsidRDefault="00650C6E" w:rsidP="00F52923">
            <w:pPr>
              <w:spacing w:line="270" w:lineRule="atLeast"/>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Greater than micro-purchase threshold:</w:t>
            </w:r>
            <w:r w:rsidRPr="00E91D53">
              <w:rPr>
                <w:rFonts w:ascii="MuseoSans-300" w:eastAsia="Times New Roman" w:hAnsi="MuseoSans-300" w:cs="Times New Roman"/>
                <w:color w:val="404041"/>
                <w:sz w:val="20"/>
                <w:szCs w:val="20"/>
              </w:rPr>
              <w:br/>
              <w:t>$10,000 and greater</w:t>
            </w:r>
          </w:p>
        </w:tc>
        <w:tc>
          <w:tcPr>
            <w:tcW w:w="6743" w:type="dxa"/>
            <w:shd w:val="clear" w:color="auto" w:fill="F0EFEF"/>
            <w:tcMar>
              <w:top w:w="135" w:type="dxa"/>
              <w:left w:w="150" w:type="dxa"/>
              <w:bottom w:w="135" w:type="dxa"/>
              <w:right w:w="150" w:type="dxa"/>
            </w:tcMar>
            <w:vAlign w:val="center"/>
            <w:hideMark/>
          </w:tcPr>
          <w:p w:rsidR="00650C6E" w:rsidRPr="00E91D53" w:rsidRDefault="00650C6E" w:rsidP="00F52923">
            <w:pPr>
              <w:numPr>
                <w:ilvl w:val="0"/>
                <w:numId w:val="29"/>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May be used only when the item is available only from a single source, the public exigency or emergency will not permit a delay resulting from competitive solicitation, federal awarding agency or pass-through entity expressly authorizes its use in response to a written request, or after solicitation of a number of sources competition is determined inadequate</w:t>
            </w:r>
          </w:p>
          <w:p w:rsidR="00650C6E" w:rsidRPr="00E91D53" w:rsidRDefault="00650C6E" w:rsidP="00F52923">
            <w:pPr>
              <w:numPr>
                <w:ilvl w:val="0"/>
                <w:numId w:val="29"/>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Justification of the use of noncompetitive proposal must be documented</w:t>
            </w:r>
          </w:p>
          <w:p w:rsidR="00650C6E" w:rsidRPr="00E91D53" w:rsidRDefault="00650C6E" w:rsidP="00F52923">
            <w:pPr>
              <w:numPr>
                <w:ilvl w:val="0"/>
                <w:numId w:val="29"/>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Any research on availability from multiple sources must be documented</w:t>
            </w:r>
          </w:p>
          <w:p w:rsidR="00650C6E" w:rsidRPr="00E91D53" w:rsidRDefault="00650C6E" w:rsidP="00F52923">
            <w:pPr>
              <w:numPr>
                <w:ilvl w:val="0"/>
                <w:numId w:val="29"/>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Documentation of authorization must be retained</w:t>
            </w:r>
          </w:p>
          <w:p w:rsidR="00650C6E" w:rsidRPr="00E91D53" w:rsidRDefault="00650C6E" w:rsidP="00F52923">
            <w:pPr>
              <w:numPr>
                <w:ilvl w:val="0"/>
                <w:numId w:val="29"/>
              </w:numPr>
              <w:spacing w:before="100" w:beforeAutospacing="1" w:after="60"/>
              <w:ind w:left="264"/>
              <w:rPr>
                <w:rFonts w:ascii="MuseoSans-300" w:eastAsia="Times New Roman" w:hAnsi="MuseoSans-300" w:cs="Times New Roman"/>
                <w:color w:val="404041"/>
                <w:sz w:val="20"/>
                <w:szCs w:val="20"/>
              </w:rPr>
            </w:pPr>
            <w:r w:rsidRPr="00E91D53">
              <w:rPr>
                <w:rFonts w:ascii="MuseoSans-300" w:eastAsia="Times New Roman" w:hAnsi="MuseoSans-300" w:cs="Times New Roman"/>
                <w:color w:val="404041"/>
                <w:sz w:val="20"/>
                <w:szCs w:val="20"/>
              </w:rPr>
              <w:t>Any initial solicitations from multiple sources which are concluded to be inadequate, and such reasoning, must be documented</w:t>
            </w:r>
          </w:p>
        </w:tc>
      </w:tr>
    </w:tbl>
    <w:p w:rsidR="00650C6E" w:rsidRPr="00E91D53" w:rsidRDefault="00650C6E" w:rsidP="004F37BD">
      <w:pPr>
        <w:shd w:val="clear" w:color="auto" w:fill="FFFFFF"/>
        <w:spacing w:after="360" w:line="360" w:lineRule="atLeast"/>
        <w:rPr>
          <w:rFonts w:ascii="Georgia" w:eastAsia="Times New Roman" w:hAnsi="Georgia" w:cs="Times New Roman"/>
          <w:color w:val="2F2A20"/>
          <w:sz w:val="20"/>
          <w:szCs w:val="20"/>
        </w:rPr>
      </w:pPr>
    </w:p>
    <w:p w:rsidR="00A46981" w:rsidRPr="00A46981" w:rsidRDefault="00A46981" w:rsidP="00E91D53">
      <w:pPr>
        <w:rPr>
          <w:rFonts w:ascii="Times New Roman" w:eastAsia="Times New Roman" w:hAnsi="Times New Roman" w:cs="Times New Roman"/>
          <w:sz w:val="24"/>
          <w:szCs w:val="24"/>
        </w:rPr>
      </w:pPr>
    </w:p>
    <w:sectPr w:rsidR="00A46981" w:rsidRPr="00A46981" w:rsidSect="00E74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Sans-3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6FD"/>
    <w:multiLevelType w:val="multilevel"/>
    <w:tmpl w:val="69F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A0279"/>
    <w:multiLevelType w:val="multilevel"/>
    <w:tmpl w:val="216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4E6F"/>
    <w:multiLevelType w:val="multilevel"/>
    <w:tmpl w:val="6FA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415B2"/>
    <w:multiLevelType w:val="multilevel"/>
    <w:tmpl w:val="085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850F0"/>
    <w:multiLevelType w:val="multilevel"/>
    <w:tmpl w:val="97A63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418F4"/>
    <w:multiLevelType w:val="multilevel"/>
    <w:tmpl w:val="E9F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52472"/>
    <w:multiLevelType w:val="multilevel"/>
    <w:tmpl w:val="E998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353BD"/>
    <w:multiLevelType w:val="multilevel"/>
    <w:tmpl w:val="65AA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13980"/>
    <w:multiLevelType w:val="multilevel"/>
    <w:tmpl w:val="2D32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42FBA"/>
    <w:multiLevelType w:val="multilevel"/>
    <w:tmpl w:val="7BF0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F4EE5"/>
    <w:multiLevelType w:val="multilevel"/>
    <w:tmpl w:val="F33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D2DFB"/>
    <w:multiLevelType w:val="multilevel"/>
    <w:tmpl w:val="62D0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308B7"/>
    <w:multiLevelType w:val="multilevel"/>
    <w:tmpl w:val="F2B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06F80"/>
    <w:multiLevelType w:val="multilevel"/>
    <w:tmpl w:val="B4A6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5A2269"/>
    <w:multiLevelType w:val="multilevel"/>
    <w:tmpl w:val="7E7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95DE6"/>
    <w:multiLevelType w:val="multilevel"/>
    <w:tmpl w:val="12A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4B3EAF"/>
    <w:multiLevelType w:val="multilevel"/>
    <w:tmpl w:val="24E8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35712"/>
    <w:multiLevelType w:val="multilevel"/>
    <w:tmpl w:val="476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179FD"/>
    <w:multiLevelType w:val="multilevel"/>
    <w:tmpl w:val="458C6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4D0902"/>
    <w:multiLevelType w:val="multilevel"/>
    <w:tmpl w:val="616A8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E71BC"/>
    <w:multiLevelType w:val="multilevel"/>
    <w:tmpl w:val="0A2A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76A3E"/>
    <w:multiLevelType w:val="multilevel"/>
    <w:tmpl w:val="58AA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6B38A9"/>
    <w:multiLevelType w:val="multilevel"/>
    <w:tmpl w:val="F14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3A0A03"/>
    <w:multiLevelType w:val="multilevel"/>
    <w:tmpl w:val="7698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2C4461"/>
    <w:multiLevelType w:val="multilevel"/>
    <w:tmpl w:val="243A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3F357E"/>
    <w:multiLevelType w:val="hybridMultilevel"/>
    <w:tmpl w:val="A66C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160EC"/>
    <w:multiLevelType w:val="multilevel"/>
    <w:tmpl w:val="136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01123F"/>
    <w:multiLevelType w:val="multilevel"/>
    <w:tmpl w:val="5CE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0020EF"/>
    <w:multiLevelType w:val="multilevel"/>
    <w:tmpl w:val="3A7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AA0A83"/>
    <w:multiLevelType w:val="multilevel"/>
    <w:tmpl w:val="FAEC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D6327"/>
    <w:multiLevelType w:val="multilevel"/>
    <w:tmpl w:val="281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621664"/>
    <w:multiLevelType w:val="multilevel"/>
    <w:tmpl w:val="51E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7000BF"/>
    <w:multiLevelType w:val="multilevel"/>
    <w:tmpl w:val="9C36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65F48"/>
    <w:multiLevelType w:val="multilevel"/>
    <w:tmpl w:val="2AE4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74851"/>
    <w:multiLevelType w:val="multilevel"/>
    <w:tmpl w:val="0F5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B77C1"/>
    <w:multiLevelType w:val="multilevel"/>
    <w:tmpl w:val="D676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E3BF4"/>
    <w:multiLevelType w:val="multilevel"/>
    <w:tmpl w:val="752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CD454E"/>
    <w:multiLevelType w:val="multilevel"/>
    <w:tmpl w:val="2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B094A"/>
    <w:multiLevelType w:val="multilevel"/>
    <w:tmpl w:val="1FB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02DBF"/>
    <w:multiLevelType w:val="multilevel"/>
    <w:tmpl w:val="5B2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4A1457"/>
    <w:multiLevelType w:val="multilevel"/>
    <w:tmpl w:val="1E4A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585A56"/>
    <w:multiLevelType w:val="multilevel"/>
    <w:tmpl w:val="9EB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F8702F"/>
    <w:multiLevelType w:val="multilevel"/>
    <w:tmpl w:val="116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3801B1"/>
    <w:multiLevelType w:val="multilevel"/>
    <w:tmpl w:val="27EA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21220"/>
    <w:multiLevelType w:val="multilevel"/>
    <w:tmpl w:val="1B9A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5A4E59"/>
    <w:multiLevelType w:val="multilevel"/>
    <w:tmpl w:val="BDF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3F58EE"/>
    <w:multiLevelType w:val="multilevel"/>
    <w:tmpl w:val="F75A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5"/>
  </w:num>
  <w:num w:numId="3">
    <w:abstractNumId w:val="29"/>
  </w:num>
  <w:num w:numId="4">
    <w:abstractNumId w:val="20"/>
  </w:num>
  <w:num w:numId="5">
    <w:abstractNumId w:val="9"/>
  </w:num>
  <w:num w:numId="6">
    <w:abstractNumId w:val="34"/>
  </w:num>
  <w:num w:numId="7">
    <w:abstractNumId w:val="46"/>
  </w:num>
  <w:num w:numId="8">
    <w:abstractNumId w:val="1"/>
  </w:num>
  <w:num w:numId="9">
    <w:abstractNumId w:val="8"/>
  </w:num>
  <w:num w:numId="10">
    <w:abstractNumId w:val="11"/>
  </w:num>
  <w:num w:numId="11">
    <w:abstractNumId w:val="21"/>
  </w:num>
  <w:num w:numId="12">
    <w:abstractNumId w:val="41"/>
  </w:num>
  <w:num w:numId="13">
    <w:abstractNumId w:val="42"/>
  </w:num>
  <w:num w:numId="14">
    <w:abstractNumId w:val="23"/>
  </w:num>
  <w:num w:numId="15">
    <w:abstractNumId w:val="24"/>
  </w:num>
  <w:num w:numId="16">
    <w:abstractNumId w:val="31"/>
  </w:num>
  <w:num w:numId="17">
    <w:abstractNumId w:val="45"/>
  </w:num>
  <w:num w:numId="18">
    <w:abstractNumId w:val="36"/>
  </w:num>
  <w:num w:numId="19">
    <w:abstractNumId w:val="44"/>
  </w:num>
  <w:num w:numId="20">
    <w:abstractNumId w:val="28"/>
  </w:num>
  <w:num w:numId="21">
    <w:abstractNumId w:val="30"/>
  </w:num>
  <w:num w:numId="22">
    <w:abstractNumId w:val="15"/>
  </w:num>
  <w:num w:numId="23">
    <w:abstractNumId w:val="27"/>
  </w:num>
  <w:num w:numId="24">
    <w:abstractNumId w:val="22"/>
  </w:num>
  <w:num w:numId="25">
    <w:abstractNumId w:val="26"/>
  </w:num>
  <w:num w:numId="26">
    <w:abstractNumId w:val="5"/>
  </w:num>
  <w:num w:numId="27">
    <w:abstractNumId w:val="13"/>
  </w:num>
  <w:num w:numId="28">
    <w:abstractNumId w:val="2"/>
  </w:num>
  <w:num w:numId="29">
    <w:abstractNumId w:val="40"/>
  </w:num>
  <w:num w:numId="30">
    <w:abstractNumId w:val="38"/>
  </w:num>
  <w:num w:numId="31">
    <w:abstractNumId w:val="43"/>
  </w:num>
  <w:num w:numId="32">
    <w:abstractNumId w:val="37"/>
  </w:num>
  <w:num w:numId="33">
    <w:abstractNumId w:val="17"/>
  </w:num>
  <w:num w:numId="34">
    <w:abstractNumId w:val="33"/>
  </w:num>
  <w:num w:numId="35">
    <w:abstractNumId w:val="19"/>
  </w:num>
  <w:num w:numId="36">
    <w:abstractNumId w:val="32"/>
  </w:num>
  <w:num w:numId="37">
    <w:abstractNumId w:val="7"/>
  </w:num>
  <w:num w:numId="38">
    <w:abstractNumId w:val="10"/>
  </w:num>
  <w:num w:numId="39">
    <w:abstractNumId w:val="12"/>
  </w:num>
  <w:num w:numId="40">
    <w:abstractNumId w:val="0"/>
  </w:num>
  <w:num w:numId="41">
    <w:abstractNumId w:val="4"/>
  </w:num>
  <w:num w:numId="42">
    <w:abstractNumId w:val="14"/>
  </w:num>
  <w:num w:numId="43">
    <w:abstractNumId w:val="16"/>
  </w:num>
  <w:num w:numId="44">
    <w:abstractNumId w:val="18"/>
  </w:num>
  <w:num w:numId="45">
    <w:abstractNumId w:val="39"/>
  </w:num>
  <w:num w:numId="46">
    <w:abstractNumId w:val="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C9"/>
    <w:rsid w:val="00180A1B"/>
    <w:rsid w:val="001968A5"/>
    <w:rsid w:val="001B7D79"/>
    <w:rsid w:val="001E5D7B"/>
    <w:rsid w:val="00213801"/>
    <w:rsid w:val="002760AE"/>
    <w:rsid w:val="002B61CB"/>
    <w:rsid w:val="002D7683"/>
    <w:rsid w:val="0030128E"/>
    <w:rsid w:val="003974B5"/>
    <w:rsid w:val="00406E0C"/>
    <w:rsid w:val="0041564A"/>
    <w:rsid w:val="004D1CCB"/>
    <w:rsid w:val="004F37BD"/>
    <w:rsid w:val="005D61D7"/>
    <w:rsid w:val="00650C6E"/>
    <w:rsid w:val="0076498E"/>
    <w:rsid w:val="008E29EA"/>
    <w:rsid w:val="00976080"/>
    <w:rsid w:val="00A011C5"/>
    <w:rsid w:val="00A42738"/>
    <w:rsid w:val="00A46981"/>
    <w:rsid w:val="00BC6E32"/>
    <w:rsid w:val="00BE3C87"/>
    <w:rsid w:val="00C020B6"/>
    <w:rsid w:val="00C220D6"/>
    <w:rsid w:val="00CF1B79"/>
    <w:rsid w:val="00CF27A9"/>
    <w:rsid w:val="00DD50A4"/>
    <w:rsid w:val="00DE1E3E"/>
    <w:rsid w:val="00E740C9"/>
    <w:rsid w:val="00E90EA5"/>
    <w:rsid w:val="00E91D53"/>
    <w:rsid w:val="00F15835"/>
    <w:rsid w:val="00F535B8"/>
    <w:rsid w:val="00FC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E166-1352-4F70-ADE7-BC537DF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8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740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40C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40C9"/>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740C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0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40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40C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740C9"/>
    <w:rPr>
      <w:rFonts w:ascii="Times New Roman" w:eastAsia="Times New Roman" w:hAnsi="Times New Roman" w:cs="Times New Roman"/>
      <w:b/>
      <w:bCs/>
      <w:sz w:val="20"/>
      <w:szCs w:val="20"/>
    </w:rPr>
  </w:style>
  <w:style w:type="paragraph" w:styleId="NormalWeb">
    <w:name w:val="Normal (Web)"/>
    <w:basedOn w:val="Normal"/>
    <w:uiPriority w:val="99"/>
    <w:unhideWhenUsed/>
    <w:rsid w:val="00E740C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40C9"/>
    <w:rPr>
      <w:b/>
      <w:bCs/>
    </w:rPr>
  </w:style>
  <w:style w:type="character" w:styleId="Hyperlink">
    <w:name w:val="Hyperlink"/>
    <w:basedOn w:val="DefaultParagraphFont"/>
    <w:uiPriority w:val="99"/>
    <w:semiHidden/>
    <w:unhideWhenUsed/>
    <w:rsid w:val="00E740C9"/>
    <w:rPr>
      <w:color w:val="0000FF"/>
      <w:u w:val="single"/>
    </w:rPr>
  </w:style>
  <w:style w:type="character" w:styleId="Emphasis">
    <w:name w:val="Emphasis"/>
    <w:basedOn w:val="DefaultParagraphFont"/>
    <w:uiPriority w:val="20"/>
    <w:qFormat/>
    <w:rsid w:val="00E740C9"/>
    <w:rPr>
      <w:i/>
      <w:iCs/>
    </w:rPr>
  </w:style>
  <w:style w:type="character" w:customStyle="1" w:styleId="Heading1Char">
    <w:name w:val="Heading 1 Char"/>
    <w:basedOn w:val="DefaultParagraphFont"/>
    <w:link w:val="Heading1"/>
    <w:uiPriority w:val="9"/>
    <w:rsid w:val="0021380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213801"/>
  </w:style>
  <w:style w:type="paragraph" w:styleId="ListParagraph">
    <w:name w:val="List Paragraph"/>
    <w:basedOn w:val="Normal"/>
    <w:uiPriority w:val="34"/>
    <w:qFormat/>
    <w:rsid w:val="00406E0C"/>
    <w:pPr>
      <w:ind w:left="720"/>
      <w:contextualSpacing/>
    </w:pPr>
  </w:style>
  <w:style w:type="paragraph" w:styleId="BalloonText">
    <w:name w:val="Balloon Text"/>
    <w:basedOn w:val="Normal"/>
    <w:link w:val="BalloonTextChar"/>
    <w:uiPriority w:val="99"/>
    <w:semiHidden/>
    <w:unhideWhenUsed/>
    <w:rsid w:val="002D7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60743">
      <w:bodyDiv w:val="1"/>
      <w:marLeft w:val="0"/>
      <w:marRight w:val="0"/>
      <w:marTop w:val="0"/>
      <w:marBottom w:val="0"/>
      <w:divBdr>
        <w:top w:val="none" w:sz="0" w:space="0" w:color="auto"/>
        <w:left w:val="none" w:sz="0" w:space="0" w:color="auto"/>
        <w:bottom w:val="none" w:sz="0" w:space="0" w:color="auto"/>
        <w:right w:val="none" w:sz="0" w:space="0" w:color="auto"/>
      </w:divBdr>
    </w:div>
    <w:div w:id="636761086">
      <w:bodyDiv w:val="1"/>
      <w:marLeft w:val="0"/>
      <w:marRight w:val="0"/>
      <w:marTop w:val="0"/>
      <w:marBottom w:val="0"/>
      <w:divBdr>
        <w:top w:val="none" w:sz="0" w:space="0" w:color="auto"/>
        <w:left w:val="none" w:sz="0" w:space="0" w:color="auto"/>
        <w:bottom w:val="none" w:sz="0" w:space="0" w:color="auto"/>
        <w:right w:val="none" w:sz="0" w:space="0" w:color="auto"/>
      </w:divBdr>
    </w:div>
    <w:div w:id="972321422">
      <w:bodyDiv w:val="1"/>
      <w:marLeft w:val="0"/>
      <w:marRight w:val="0"/>
      <w:marTop w:val="0"/>
      <w:marBottom w:val="0"/>
      <w:divBdr>
        <w:top w:val="none" w:sz="0" w:space="0" w:color="auto"/>
        <w:left w:val="none" w:sz="0" w:space="0" w:color="auto"/>
        <w:bottom w:val="none" w:sz="0" w:space="0" w:color="auto"/>
        <w:right w:val="none" w:sz="0" w:space="0" w:color="auto"/>
      </w:divBdr>
      <w:divsChild>
        <w:div w:id="19061864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5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fr.gov/cgi-bin/text-idx?node=2:1.1.2.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Altemose</dc:creator>
  <cp:keywords/>
  <dc:description/>
  <cp:lastModifiedBy>Brenda Bachman</cp:lastModifiedBy>
  <cp:revision>2</cp:revision>
  <cp:lastPrinted>2018-10-29T20:16:00Z</cp:lastPrinted>
  <dcterms:created xsi:type="dcterms:W3CDTF">2018-11-29T16:20:00Z</dcterms:created>
  <dcterms:modified xsi:type="dcterms:W3CDTF">2018-11-29T16:20:00Z</dcterms:modified>
</cp:coreProperties>
</file>